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Western"/>
        <w:spacing w:before="0" w:after="280"/>
        <w:jc w:val="center"/>
        <w:rPr/>
      </w:pPr>
      <w:bookmarkStart w:id="0" w:name="_GoBack"/>
      <w:bookmarkEnd w:id="0"/>
      <w:r>
        <w:rPr>
          <w:b/>
          <w:bCs/>
          <w:color w:val="231F20"/>
          <w:sz w:val="22"/>
          <w:szCs w:val="22"/>
        </w:rPr>
        <w:t>ALLEGATO 1</w:t>
      </w:r>
    </w:p>
    <w:p>
      <w:pPr>
        <w:pStyle w:val="Standard"/>
        <w:spacing w:lineRule="auto" w:line="360"/>
        <w:jc w:val="center"/>
        <w:rPr>
          <w:rFonts w:ascii="Cambria" w:hAnsi="Cambria"/>
          <w:b/>
          <w:b/>
          <w:bCs/>
          <w:sz w:val="22"/>
          <w:szCs w:val="22"/>
        </w:rPr>
      </w:pPr>
      <w:r>
        <w:rPr>
          <w:rFonts w:ascii="Cambria" w:hAnsi="Cambria"/>
          <w:b/>
          <w:bCs/>
          <w:sz w:val="22"/>
          <w:szCs w:val="22"/>
        </w:rPr>
        <w:t xml:space="preserve">     </w:t>
      </w:r>
      <w:r>
        <w:rPr>
          <w:rFonts w:ascii="Cambria" w:hAnsi="Cambria"/>
          <w:b/>
          <w:bCs/>
          <w:sz w:val="22"/>
          <w:szCs w:val="22"/>
        </w:rPr>
        <w:t>Regolamento</w:t>
      </w:r>
    </w:p>
    <w:p>
      <w:pPr>
        <w:pStyle w:val="Standard"/>
        <w:spacing w:lineRule="auto" w:line="360"/>
        <w:jc w:val="center"/>
        <w:rPr>
          <w:rFonts w:ascii="Cambria" w:hAnsi="Cambria"/>
          <w:sz w:val="22"/>
          <w:szCs w:val="22"/>
        </w:rPr>
      </w:pPr>
      <w:r>
        <w:rPr>
          <w:rFonts w:ascii="Cambria" w:hAnsi="Cambria"/>
          <w:sz w:val="22"/>
          <w:szCs w:val="22"/>
        </w:rPr>
      </w:r>
    </w:p>
    <w:p>
      <w:pPr>
        <w:pStyle w:val="Standard"/>
        <w:spacing w:lineRule="auto" w:line="360"/>
        <w:jc w:val="both"/>
        <w:rPr/>
      </w:pPr>
      <w:r>
        <w:rPr>
          <w:rFonts w:ascii="Cambria" w:hAnsi="Cambria"/>
          <w:b/>
          <w:bCs/>
          <w:color w:val="231F20"/>
          <w:sz w:val="22"/>
          <w:szCs w:val="22"/>
        </w:rPr>
        <w:t>Procedure per il rilascio dell’autorizzazione degli enti che intendono svolgere i corsi di formazione iniziale e periodica nonché degli esami per l’abilitazione degli insegnanti e degli istruttori delle autoscuole</w:t>
      </w:r>
    </w:p>
    <w:p>
      <w:pPr>
        <w:pStyle w:val="Western"/>
        <w:spacing w:before="280" w:after="0"/>
        <w:jc w:val="center"/>
        <w:rPr/>
      </w:pPr>
      <w:r>
        <w:rPr>
          <w:b/>
          <w:bCs/>
          <w:color w:val="231F20"/>
          <w:sz w:val="22"/>
          <w:szCs w:val="22"/>
        </w:rPr>
        <w:t>Art. 1</w:t>
      </w:r>
    </w:p>
    <w:p>
      <w:pPr>
        <w:pStyle w:val="Standard"/>
        <w:spacing w:lineRule="auto" w:line="228" w:before="108" w:after="0"/>
        <w:ind w:left="215" w:right="125" w:hanging="0"/>
        <w:jc w:val="center"/>
        <w:rPr/>
      </w:pPr>
      <w:r>
        <w:rPr>
          <w:rFonts w:eastAsia="SimSun" w:cs="Cambria" w:ascii="Cambria" w:hAnsi="Cambria"/>
          <w:color w:val="231F20"/>
          <w:sz w:val="22"/>
          <w:szCs w:val="22"/>
          <w:u w:val="single"/>
        </w:rPr>
        <w:t>Corsi di formazione iniziale e periodica per l'abilitazione alla professione                                                                     di insegnanti e di istruttori di autoscuola</w:t>
      </w:r>
    </w:p>
    <w:p>
      <w:pPr>
        <w:pStyle w:val="Standard"/>
        <w:spacing w:lineRule="auto" w:line="216" w:before="125" w:after="0"/>
        <w:ind w:left="215" w:right="108" w:firstLine="6"/>
        <w:jc w:val="both"/>
        <w:rPr>
          <w:rFonts w:ascii="Cambria" w:hAnsi="Cambria" w:eastAsia="SimSun" w:cs="Cambria"/>
          <w:color w:val="231F20"/>
          <w:sz w:val="22"/>
          <w:szCs w:val="22"/>
        </w:rPr>
      </w:pPr>
      <w:r>
        <w:rPr>
          <w:rFonts w:eastAsia="SimSun" w:cs="Cambria" w:ascii="Cambria" w:hAnsi="Cambria"/>
          <w:color w:val="231F20"/>
          <w:sz w:val="22"/>
          <w:szCs w:val="22"/>
        </w:rPr>
      </w:r>
    </w:p>
    <w:p>
      <w:pPr>
        <w:pStyle w:val="Standard"/>
        <w:spacing w:lineRule="auto" w:line="216" w:before="130" w:after="0"/>
        <w:ind w:right="125" w:hanging="0"/>
        <w:jc w:val="both"/>
        <w:rPr/>
      </w:pPr>
      <w:r>
        <w:rPr>
          <w:rFonts w:eastAsia="SimSun" w:cs="Cambria" w:ascii="Cambria" w:hAnsi="Cambria"/>
          <w:color w:val="231F20"/>
          <w:sz w:val="22"/>
          <w:szCs w:val="22"/>
        </w:rPr>
        <w:t>Possono essere autorizzati ad effettuare i corsi di formazione iniziale, periodica e di estensione dell'abilitazione di insegnante e di istruttore di autoscuola, di cui agli artt. 2, 4, 7, 9 e 10 del D.M. 26 gennaio 2011, n. 17 e ss.mm.ii., i seguenti soggetti:</w:t>
      </w:r>
    </w:p>
    <w:p>
      <w:pPr>
        <w:pStyle w:val="Standard"/>
        <w:widowControl/>
        <w:numPr>
          <w:ilvl w:val="1"/>
          <w:numId w:val="5"/>
        </w:numPr>
        <w:tabs>
          <w:tab w:val="clear" w:pos="720"/>
          <w:tab w:val="left" w:pos="1642" w:leader="none"/>
        </w:tabs>
        <w:suppressAutoHyphens w:val="true"/>
        <w:bidi w:val="0"/>
        <w:spacing w:lineRule="auto" w:line="228" w:before="119" w:after="0"/>
        <w:ind w:left="794" w:right="0" w:hanging="340"/>
        <w:jc w:val="both"/>
        <w:textAlignment w:val="baseline"/>
        <w:rPr/>
      </w:pPr>
      <w:r>
        <w:rPr>
          <w:rFonts w:eastAsia="SimSun" w:cs="Cambria" w:ascii="Cambria" w:hAnsi="Cambria"/>
          <w:color w:val="231F20"/>
          <w:sz w:val="22"/>
          <w:szCs w:val="22"/>
        </w:rPr>
        <w:t>Autoscuole, aventi sede in Sicilia, autorizzate per tutte le categorie di patenti di guida dalle province regionali territorialmente competenti;</w:t>
      </w:r>
    </w:p>
    <w:p>
      <w:pPr>
        <w:pStyle w:val="Standard"/>
        <w:widowControl/>
        <w:numPr>
          <w:ilvl w:val="1"/>
          <w:numId w:val="5"/>
        </w:numPr>
        <w:tabs>
          <w:tab w:val="clear" w:pos="720"/>
          <w:tab w:val="left" w:pos="1658" w:leader="none"/>
        </w:tabs>
        <w:suppressAutoHyphens w:val="true"/>
        <w:bidi w:val="0"/>
        <w:spacing w:lineRule="auto" w:line="228" w:before="119" w:after="0"/>
        <w:ind w:left="794" w:right="0" w:hanging="340"/>
        <w:jc w:val="both"/>
        <w:textAlignment w:val="baseline"/>
        <w:rPr/>
      </w:pPr>
      <w:r>
        <w:rPr>
          <w:rFonts w:eastAsia="SimSun" w:cs="Cambria" w:ascii="Cambria" w:hAnsi="Cambria"/>
          <w:color w:val="231F20"/>
          <w:sz w:val="22"/>
          <w:szCs w:val="22"/>
        </w:rPr>
        <w:t>Centri di istruzione automobilistica, aventi sede in Sicilia, riconosciuti per la formazione integrale;</w:t>
      </w:r>
    </w:p>
    <w:p>
      <w:pPr>
        <w:pStyle w:val="Standard"/>
        <w:widowControl/>
        <w:numPr>
          <w:ilvl w:val="1"/>
          <w:numId w:val="5"/>
        </w:numPr>
        <w:tabs>
          <w:tab w:val="clear" w:pos="720"/>
          <w:tab w:val="left" w:pos="1658" w:leader="none"/>
        </w:tabs>
        <w:suppressAutoHyphens w:val="true"/>
        <w:bidi w:val="0"/>
        <w:spacing w:lineRule="auto" w:line="228" w:before="119" w:after="0"/>
        <w:ind w:left="794" w:right="0" w:hanging="340"/>
        <w:jc w:val="both"/>
        <w:textAlignment w:val="baseline"/>
        <w:rPr/>
      </w:pPr>
      <w:r>
        <w:rPr>
          <w:rFonts w:ascii="Cambria" w:hAnsi="Cambria"/>
          <w:sz w:val="22"/>
          <w:szCs w:val="22"/>
        </w:rPr>
        <w:t xml:space="preserve">Soggetti accreditati, </w:t>
      </w:r>
      <w:r>
        <w:rPr>
          <w:rFonts w:eastAsia="SimSun" w:cs="Cambria" w:ascii="Cambria" w:hAnsi="Cambria"/>
          <w:color w:val="231F20"/>
          <w:sz w:val="22"/>
          <w:szCs w:val="22"/>
        </w:rPr>
        <w:t xml:space="preserve">aventi sede in Sicilia, </w:t>
      </w:r>
      <w:r>
        <w:rPr>
          <w:rFonts w:ascii="Cambria" w:hAnsi="Cambria"/>
          <w:sz w:val="22"/>
          <w:szCs w:val="22"/>
        </w:rPr>
        <w:t xml:space="preserve">sulla base della disciplina quadro di settore definita con l'intesa stipulata in sede di Conferenza permanente per i rapporti tra lo Stato, le regioni e le province autonome di Trento e di Bolzano il 20 marzo 2008, pubblicata nella Gazzetta Ufficiale n. 18 del 23 gennaio 2009, nonché dei criteri specifici dettati con il decreto del Ministro delle infrastrutture e dei trasporti di cui al comma 10 dell’art 123 del Decreto Legislativo 30 aprile 1992, n. 285 e ss.mm.ii. </w:t>
      </w:r>
    </w:p>
    <w:p>
      <w:pPr>
        <w:pStyle w:val="Normal"/>
        <w:bidi w:val="0"/>
        <w:ind w:left="0" w:right="0" w:hanging="0"/>
        <w:jc w:val="center"/>
        <w:rPr>
          <w:rFonts w:ascii="Cambria" w:hAnsi="Cambria" w:eastAsia="SimSun" w:cs="Cambria"/>
          <w:b/>
          <w:b/>
          <w:bCs/>
          <w:color w:val="231F20"/>
          <w:sz w:val="21"/>
          <w:szCs w:val="21"/>
        </w:rPr>
      </w:pPr>
      <w:r>
        <w:rPr>
          <w:rFonts w:eastAsia="SimSun" w:cs="Cambria" w:ascii="Cambria" w:hAnsi="Cambria"/>
          <w:b/>
          <w:bCs/>
          <w:color w:val="231F20"/>
          <w:sz w:val="21"/>
          <w:szCs w:val="21"/>
        </w:rPr>
      </w:r>
    </w:p>
    <w:p>
      <w:pPr>
        <w:pStyle w:val="Normal"/>
        <w:bidi w:val="0"/>
        <w:ind w:left="0" w:right="0" w:hanging="0"/>
        <w:jc w:val="center"/>
        <w:rPr>
          <w:rFonts w:ascii="Cambria" w:hAnsi="Cambria" w:eastAsia="SimSun" w:cs="Cambria"/>
          <w:b/>
          <w:b/>
          <w:bCs/>
          <w:color w:val="231F20"/>
          <w:sz w:val="21"/>
          <w:szCs w:val="21"/>
        </w:rPr>
      </w:pPr>
      <w:r>
        <w:rPr>
          <w:rFonts w:eastAsia="SimSun" w:cs="Cambria" w:ascii="Cambria" w:hAnsi="Cambria"/>
          <w:b/>
          <w:bCs/>
          <w:color w:val="231F20"/>
          <w:sz w:val="21"/>
          <w:szCs w:val="21"/>
        </w:rPr>
        <w:t>Art.2</w:t>
      </w:r>
    </w:p>
    <w:p>
      <w:pPr>
        <w:pStyle w:val="Normal"/>
        <w:bidi w:val="0"/>
        <w:ind w:left="0" w:right="0" w:hanging="0"/>
        <w:jc w:val="both"/>
        <w:rPr>
          <w:rFonts w:ascii="Cambria" w:hAnsi="Cambria" w:eastAsia="SimSun" w:cs="Cambria"/>
          <w:b/>
          <w:b/>
          <w:bCs/>
          <w:color w:val="231F20"/>
          <w:sz w:val="21"/>
          <w:szCs w:val="21"/>
          <w:u w:val="single"/>
        </w:rPr>
      </w:pPr>
      <w:r>
        <w:rPr>
          <w:rFonts w:eastAsia="SimSun" w:cs="Cambria" w:ascii="Cambria" w:hAnsi="Cambria"/>
          <w:b/>
          <w:bCs/>
          <w:color w:val="231F20"/>
          <w:sz w:val="21"/>
          <w:szCs w:val="21"/>
          <w:u w:val="single"/>
        </w:rPr>
      </w:r>
    </w:p>
    <w:p>
      <w:pPr>
        <w:pStyle w:val="Normal"/>
        <w:bidi w:val="0"/>
        <w:ind w:left="0" w:right="0" w:hanging="0"/>
        <w:jc w:val="both"/>
        <w:rPr>
          <w:rFonts w:ascii="Cambria" w:hAnsi="Cambria" w:eastAsia="SimSun" w:cs="Cambria"/>
          <w:color w:val="231F20"/>
          <w:sz w:val="21"/>
          <w:szCs w:val="21"/>
          <w:u w:val="single"/>
        </w:rPr>
      </w:pPr>
      <w:r>
        <w:rPr>
          <w:rFonts w:eastAsia="SimSun" w:cs="Cambria" w:ascii="Cambria" w:hAnsi="Cambria"/>
          <w:color w:val="231F20"/>
          <w:sz w:val="21"/>
          <w:szCs w:val="21"/>
          <w:u w:val="single"/>
        </w:rPr>
        <w:t>Requisiti morali per l'espletamento dei corsi di formazione degli insegnanti e degli istruttori di autoscuola</w:t>
      </w:r>
    </w:p>
    <w:p>
      <w:pPr>
        <w:pStyle w:val="Normal"/>
        <w:bidi w:val="0"/>
        <w:ind w:left="0" w:right="0" w:hanging="0"/>
        <w:jc w:val="both"/>
        <w:rPr>
          <w:rFonts w:ascii="Cambria" w:hAnsi="Cambria" w:eastAsia="SimSun" w:cs="Cambria"/>
          <w:color w:val="231F20"/>
          <w:sz w:val="21"/>
          <w:szCs w:val="21"/>
          <w:u w:val="single"/>
        </w:rPr>
      </w:pPr>
      <w:r>
        <w:rPr>
          <w:rFonts w:eastAsia="SimSun" w:cs="Cambria" w:ascii="Cambria" w:hAnsi="Cambria"/>
          <w:color w:val="231F20"/>
          <w:sz w:val="21"/>
          <w:szCs w:val="21"/>
          <w:u w:val="single"/>
        </w:rPr>
      </w:r>
    </w:p>
    <w:p>
      <w:pPr>
        <w:pStyle w:val="Normal"/>
        <w:bidi w:val="0"/>
        <w:ind w:left="0" w:right="0" w:hanging="0"/>
        <w:jc w:val="both"/>
        <w:rPr/>
      </w:pPr>
      <w:r>
        <w:rPr>
          <w:rFonts w:eastAsia="Cambria" w:cs="Cambria" w:ascii="Cambria" w:hAnsi="Cambria"/>
          <w:color w:val="231F20"/>
          <w:sz w:val="21"/>
          <w:szCs w:val="21"/>
        </w:rPr>
        <w:t xml:space="preserve"> </w:t>
      </w:r>
      <w:r>
        <w:rPr>
          <w:rFonts w:eastAsia="SimSun" w:cs="Cambria" w:ascii="Cambria" w:hAnsi="Cambria"/>
          <w:color w:val="231F20"/>
          <w:sz w:val="21"/>
          <w:szCs w:val="21"/>
        </w:rPr>
        <w:t>I titolari delle Autoscuole e i legali rappresentanti dei Centri di istruzione e degl iEnti di formazione accreditati dalla Regione Siciliana, per ottenere l'autorizzazione per l'espletamento dei corsi di formazione di insegnanti e di istruttori delle autoscuole, devono:</w:t>
      </w:r>
    </w:p>
    <w:p>
      <w:pPr>
        <w:pStyle w:val="Normal"/>
        <w:numPr>
          <w:ilvl w:val="0"/>
          <w:numId w:val="4"/>
        </w:numPr>
        <w:tabs>
          <w:tab w:val="left" w:pos="720" w:leader="none"/>
          <w:tab w:val="left" w:pos="1080" w:leader="none"/>
        </w:tabs>
        <w:bidi w:val="0"/>
        <w:spacing w:lineRule="auto" w:line="240" w:before="280" w:after="0"/>
        <w:ind w:left="680" w:right="113" w:hanging="0"/>
        <w:jc w:val="both"/>
        <w:rPr>
          <w:rFonts w:ascii="Cambria" w:hAnsi="Cambria" w:eastAsia="SimSun" w:cs="Cambria"/>
          <w:color w:val="231F20"/>
          <w:sz w:val="21"/>
          <w:szCs w:val="21"/>
        </w:rPr>
      </w:pPr>
      <w:r>
        <w:rPr>
          <w:rFonts w:eastAsia="SimSun" w:cs="Cambria" w:ascii="Cambria" w:hAnsi="Cambria"/>
          <w:color w:val="231F20"/>
          <w:sz w:val="21"/>
          <w:szCs w:val="21"/>
        </w:rPr>
        <w:t xml:space="preserve">non essere stati dichiarati delinquenti abituali,professionali o per tendenza, oppure non essere stati sottoposti a misure di sicurezza personali o a misure di prevenzione previste dalla legge 27 dicembre 1956  N.1423, e dalla legge 31maggio1965 n. 575; </w:t>
      </w:r>
    </w:p>
    <w:p>
      <w:pPr>
        <w:pStyle w:val="Normal"/>
        <w:numPr>
          <w:ilvl w:val="0"/>
          <w:numId w:val="4"/>
        </w:numPr>
        <w:tabs>
          <w:tab w:val="left" w:pos="720" w:leader="none"/>
          <w:tab w:val="left" w:pos="1080" w:leader="none"/>
        </w:tabs>
        <w:bidi w:val="0"/>
        <w:spacing w:lineRule="auto" w:line="240" w:before="280" w:after="0"/>
        <w:ind w:left="680" w:right="113" w:hanging="0"/>
        <w:jc w:val="both"/>
        <w:rPr>
          <w:rFonts w:ascii="Cambria" w:hAnsi="Cambria" w:eastAsia="SimSun" w:cs="Cambria"/>
          <w:color w:val="231F20"/>
          <w:sz w:val="21"/>
          <w:szCs w:val="21"/>
        </w:rPr>
      </w:pPr>
      <w:r>
        <w:rPr>
          <w:rFonts w:eastAsia="SimSun" w:cs="Cambria" w:ascii="Cambria" w:hAnsi="Cambria"/>
          <w:color w:val="231F20"/>
          <w:sz w:val="21"/>
          <w:szCs w:val="21"/>
        </w:rPr>
        <w:t>non essere stati sottoposti, con sentenza definitiva, ad una delle pene accessorie previste dall'articolo 19, comma 1, numeri 2 e 4del codice penale;</w:t>
      </w:r>
    </w:p>
    <w:p>
      <w:pPr>
        <w:pStyle w:val="Normal"/>
        <w:numPr>
          <w:ilvl w:val="0"/>
          <w:numId w:val="4"/>
        </w:numPr>
        <w:tabs>
          <w:tab w:val="left" w:pos="720" w:leader="none"/>
          <w:tab w:val="left" w:pos="1080" w:leader="none"/>
        </w:tabs>
        <w:bidi w:val="0"/>
        <w:spacing w:lineRule="auto" w:line="240" w:before="280" w:after="0"/>
        <w:ind w:left="680" w:right="113" w:hanging="0"/>
        <w:jc w:val="both"/>
        <w:rPr>
          <w:rFonts w:ascii="Cambria" w:hAnsi="Cambria" w:eastAsia="SimSun" w:cs="Cambria"/>
          <w:color w:val="231F20"/>
          <w:sz w:val="21"/>
          <w:szCs w:val="21"/>
        </w:rPr>
      </w:pPr>
      <w:r>
        <w:rPr>
          <w:rFonts w:eastAsia="SimSun" w:cs="Cambria" w:ascii="Cambria" w:hAnsi="Cambria"/>
          <w:color w:val="231F20"/>
          <w:sz w:val="21"/>
          <w:szCs w:val="21"/>
        </w:rPr>
        <w:t>non aver riportato, con sentenza definitiva, una o più condanne ,per reato non colposo, a pena detentiva complessivamente superiore a due anni e sei mesi ;</w:t>
      </w:r>
    </w:p>
    <w:p>
      <w:pPr>
        <w:pStyle w:val="Normal"/>
        <w:widowControl/>
        <w:numPr>
          <w:ilvl w:val="0"/>
          <w:numId w:val="4"/>
        </w:numPr>
        <w:tabs>
          <w:tab w:val="left" w:pos="720" w:leader="none"/>
          <w:tab w:val="left" w:pos="1080" w:leader="none"/>
        </w:tabs>
        <w:suppressAutoHyphens w:val="true"/>
        <w:bidi w:val="0"/>
        <w:spacing w:lineRule="auto" w:line="240" w:before="119" w:after="0"/>
        <w:ind w:left="737" w:right="113" w:hanging="57"/>
        <w:jc w:val="both"/>
        <w:textAlignment w:val="baseline"/>
        <w:rPr>
          <w:rFonts w:ascii="Cambria" w:hAnsi="Cambria" w:eastAsia="SimSun" w:cs="Cambria"/>
          <w:color w:val="231F20"/>
          <w:sz w:val="21"/>
          <w:szCs w:val="21"/>
        </w:rPr>
      </w:pPr>
      <w:r>
        <w:rPr>
          <w:rFonts w:eastAsia="SimSun" w:cs="Cambria" w:ascii="Cambria" w:hAnsi="Cambria"/>
          <w:color w:val="231F20"/>
          <w:sz w:val="22"/>
          <w:szCs w:val="22"/>
        </w:rPr>
        <w:t>non aver riportato, con sentenza definitiva, una condanna a pena detentiva per uno dei delitti di cui al capo I del titolo II o ai capi II e III del titolo  I  VII del libro secondo del codice penale o per uno dei delitti di cui agli articoli 416, 416-bis, 513-bis, 589, comma 2, 624, 628, 629, 630, 640, 641, 644, 648, 648-bis e 648-ter del codice penale; per uno dei delitti di cui all'articolo 3 della legge 20 febbraio 1958, n.75; per uno dei delitti di cui alla legge 2 ottobre 1967, n.895; per uno dei delitti di cui agli articoli 73, comma 1, e 74 del D.P.R. 9 ottobre 1990 .n. 309; per il delitto di cui all'articolo 189, comma 6 e comma 7, del decreto legislativo 30 aprile1992 .n. 285; per uno dei delitti di cui all'articolo12 del decreto legislativo 25 luglio1998. n. 286;</w:t>
      </w:r>
    </w:p>
    <w:p>
      <w:pPr>
        <w:pStyle w:val="Standard"/>
        <w:jc w:val="center"/>
        <w:rPr>
          <w:rFonts w:ascii="Cambria" w:hAnsi="Cambria" w:eastAsia="SimSun" w:cs="Cambria"/>
          <w:b/>
          <w:b/>
          <w:bCs/>
          <w:color w:val="231F20"/>
          <w:sz w:val="22"/>
          <w:szCs w:val="22"/>
        </w:rPr>
      </w:pPr>
      <w:r>
        <w:rPr>
          <w:rFonts w:eastAsia="SimSun" w:cs="Cambria" w:ascii="Cambria" w:hAnsi="Cambria"/>
          <w:b/>
          <w:bCs/>
          <w:color w:val="231F20"/>
          <w:sz w:val="22"/>
          <w:szCs w:val="22"/>
        </w:rPr>
      </w:r>
    </w:p>
    <w:p>
      <w:pPr>
        <w:pStyle w:val="Standard"/>
        <w:spacing w:lineRule="auto" w:line="276"/>
        <w:jc w:val="center"/>
        <w:rPr/>
      </w:pPr>
      <w:r>
        <w:rPr>
          <w:rFonts w:eastAsia="SimSun" w:cs="Cambria" w:ascii="Cambria" w:hAnsi="Cambria"/>
          <w:b/>
          <w:bCs/>
          <w:color w:val="231F20"/>
          <w:sz w:val="22"/>
          <w:szCs w:val="22"/>
        </w:rPr>
        <w:t>Art. 4</w:t>
      </w:r>
    </w:p>
    <w:p>
      <w:pPr>
        <w:pStyle w:val="Standard"/>
        <w:spacing w:lineRule="auto" w:line="276" w:before="96" w:after="0"/>
        <w:ind w:left="352" w:hanging="0"/>
        <w:jc w:val="center"/>
        <w:rPr/>
      </w:pPr>
      <w:r>
        <w:rPr>
          <w:rFonts w:eastAsia="SimSun" w:cs="Cambria" w:ascii="Cambria" w:hAnsi="Cambria"/>
          <w:color w:val="231F20"/>
          <w:sz w:val="22"/>
          <w:szCs w:val="22"/>
          <w:u w:val="single"/>
        </w:rPr>
        <w:t>Autorizzazione ed accreditamento</w:t>
      </w:r>
    </w:p>
    <w:p>
      <w:pPr>
        <w:pStyle w:val="Standard"/>
        <w:numPr>
          <w:ilvl w:val="0"/>
          <w:numId w:val="1"/>
        </w:numPr>
        <w:spacing w:lineRule="auto" w:line="228" w:before="113" w:after="0"/>
        <w:ind w:left="488" w:right="130" w:hanging="360"/>
        <w:jc w:val="both"/>
        <w:rPr/>
      </w:pPr>
      <w:r>
        <w:rPr>
          <w:rFonts w:eastAsia="SimSun" w:cs="Cambria" w:ascii="Cambria" w:hAnsi="Cambria"/>
          <w:color w:val="231F20"/>
          <w:sz w:val="22"/>
          <w:szCs w:val="22"/>
        </w:rPr>
        <w:t>Per l’ottenimento dell’autorizzazione ad organizzare corsi di formazione iniziale e/o periodica per insegnanti e/o istruttori di autoscuola secondo quanto previsto dal successivo art. 3, le Autoscuole, i Centri di istruzione e gli Enti di cui all'art. 1, lett. a), b) e c) del presente regolamento</w:t>
      </w:r>
      <w:r>
        <w:rPr>
          <w:rFonts w:eastAsia="SimSun" w:cs="Cambria" w:ascii="Cambria" w:hAnsi="Cambria"/>
          <w:color w:val="231F20"/>
          <w:sz w:val="21"/>
          <w:szCs w:val="21"/>
        </w:rPr>
        <w:t>,</w:t>
      </w:r>
      <w:r>
        <w:rPr>
          <w:rFonts w:eastAsia="SimSun" w:cs="Cambria" w:ascii="Cambria" w:hAnsi="Cambria"/>
          <w:color w:val="231F20"/>
          <w:sz w:val="22"/>
          <w:szCs w:val="22"/>
        </w:rPr>
        <w:t xml:space="preserve"> </w:t>
      </w:r>
      <w:r>
        <w:rPr>
          <w:rFonts w:eastAsia="SimSun" w:cs="Cambria" w:ascii="Cambria" w:hAnsi="Cambria"/>
          <w:color w:val="231F20"/>
          <w:sz w:val="21"/>
          <w:szCs w:val="21"/>
        </w:rPr>
        <w:t xml:space="preserve"> possono </w:t>
      </w:r>
      <w:r>
        <w:rPr>
          <w:rFonts w:eastAsia="SimSun" w:cs="Cambria" w:ascii="Cambria" w:hAnsi="Cambria"/>
          <w:color w:val="231F20"/>
          <w:sz w:val="22"/>
          <w:szCs w:val="22"/>
        </w:rPr>
        <w:t>presentare istanza in bollo,</w:t>
      </w:r>
      <w:r>
        <w:rPr>
          <w:rFonts w:eastAsia="SimSun" w:cs="Cambria" w:ascii="Cambria" w:hAnsi="Cambria"/>
          <w:color w:val="231F20"/>
          <w:sz w:val="21"/>
          <w:szCs w:val="21"/>
        </w:rPr>
        <w:t xml:space="preserve"> all’Ufficio Provinciale  della Motorizzazione Civile territorialmente competente</w:t>
      </w:r>
      <w:r>
        <w:rPr>
          <w:rFonts w:eastAsia="SimSun" w:cs="Cambria" w:ascii="Cambria" w:hAnsi="Cambria"/>
          <w:color w:val="231F20"/>
          <w:sz w:val="22"/>
          <w:szCs w:val="22"/>
        </w:rPr>
        <w:t>.</w:t>
      </w:r>
    </w:p>
    <w:p>
      <w:pPr>
        <w:pStyle w:val="Standard"/>
        <w:widowControl/>
        <w:numPr>
          <w:ilvl w:val="0"/>
          <w:numId w:val="0"/>
        </w:numPr>
        <w:suppressAutoHyphens w:val="true"/>
        <w:bidi w:val="0"/>
        <w:spacing w:lineRule="auto" w:line="228" w:before="113" w:after="0"/>
        <w:ind w:left="510" w:right="113" w:hanging="0"/>
        <w:jc w:val="both"/>
        <w:textAlignment w:val="baseline"/>
        <w:rPr/>
      </w:pPr>
      <w:r>
        <w:rPr>
          <w:rFonts w:eastAsia="SimSun" w:cs="Cambria" w:ascii="Cambria" w:hAnsi="Cambria"/>
          <w:b/>
          <w:bCs/>
          <w:color w:val="231F20"/>
          <w:sz w:val="22"/>
          <w:szCs w:val="22"/>
        </w:rPr>
        <w:t xml:space="preserve"> </w:t>
      </w:r>
      <w:r>
        <w:rPr>
          <w:rFonts w:eastAsia="SimSun" w:cs="Cambria" w:ascii="Cambria" w:hAnsi="Cambria"/>
          <w:b/>
          <w:bCs/>
          <w:color w:val="231F20"/>
          <w:sz w:val="22"/>
          <w:szCs w:val="22"/>
        </w:rPr>
        <w:t>1.1</w:t>
      </w:r>
      <w:r>
        <w:rPr>
          <w:rFonts w:eastAsia="SimSun" w:cs="Cambria" w:ascii="Cambria" w:hAnsi="Cambria"/>
          <w:color w:val="231F20"/>
          <w:sz w:val="22"/>
          <w:szCs w:val="22"/>
        </w:rPr>
        <w:t xml:space="preserve">  Ai fini del rilascio dell'autorizzazione i soggetti richiedenti devono dichiarare di avvalersi    delle figure professionali, di avere la disponibilità di locali idonei, delle attrezzature e del parco veicolare previste dal citato D.M. 26 gennaio 2011, n. 17 e ss.mm.ii, l'elenco dei  veicoli     disponibili con l'indicazione dei numeri di targa.</w:t>
      </w:r>
    </w:p>
    <w:p>
      <w:pPr>
        <w:pStyle w:val="Standard"/>
        <w:widowControl/>
        <w:numPr>
          <w:ilvl w:val="0"/>
          <w:numId w:val="0"/>
        </w:numPr>
        <w:suppressAutoHyphens w:val="true"/>
        <w:bidi w:val="0"/>
        <w:spacing w:lineRule="auto" w:line="228" w:before="113" w:after="0"/>
        <w:ind w:left="510" w:right="113" w:hanging="0"/>
        <w:jc w:val="both"/>
        <w:textAlignment w:val="baseline"/>
        <w:rPr/>
      </w:pPr>
      <w:r>
        <w:rPr>
          <w:rFonts w:eastAsia="SimSun" w:cs="Cambria" w:ascii="Cambria" w:hAnsi="Cambria"/>
          <w:color w:val="231F20"/>
          <w:sz w:val="22"/>
          <w:szCs w:val="22"/>
        </w:rPr>
        <w:t xml:space="preserve">  </w:t>
      </w:r>
      <w:r>
        <w:rPr>
          <w:rFonts w:eastAsia="SimSun" w:cs="Cambria" w:ascii="Cambria" w:hAnsi="Cambria"/>
          <w:b/>
          <w:bCs/>
          <w:color w:val="231F20"/>
          <w:sz w:val="22"/>
          <w:szCs w:val="22"/>
        </w:rPr>
        <w:t>1.2</w:t>
      </w:r>
      <w:r>
        <w:rPr>
          <w:rFonts w:eastAsia="SimSun" w:cs="Cambria" w:ascii="Cambria" w:hAnsi="Cambria"/>
          <w:color w:val="231F20"/>
          <w:sz w:val="22"/>
          <w:szCs w:val="22"/>
        </w:rPr>
        <w:t xml:space="preserve">  La domanda deve essere corredata di tutta la documentazione richiesta e della fotocopia </w:t>
        <w:tab/>
        <w:t xml:space="preserve">      delle carte di circolazione dei veicoli.</w:t>
      </w:r>
    </w:p>
    <w:p>
      <w:pPr>
        <w:pStyle w:val="Standard"/>
        <w:numPr>
          <w:ilvl w:val="0"/>
          <w:numId w:val="1"/>
        </w:numPr>
        <w:spacing w:lineRule="auto" w:line="228" w:before="113" w:after="0"/>
        <w:ind w:left="488" w:right="130" w:hanging="360"/>
        <w:jc w:val="both"/>
        <w:rPr>
          <w:rFonts w:ascii="Cambria" w:hAnsi="Cambria" w:eastAsia="SimSun" w:cs="Cambria"/>
          <w:color w:val="231F20"/>
          <w:sz w:val="22"/>
          <w:szCs w:val="22"/>
        </w:rPr>
      </w:pPr>
      <w:r>
        <w:rPr>
          <w:rFonts w:eastAsia="SimSun" w:cs="Cambria" w:ascii="Cambria" w:hAnsi="Cambria"/>
          <w:color w:val="231F20"/>
          <w:sz w:val="21"/>
          <w:szCs w:val="21"/>
        </w:rPr>
        <w:t>Gli Uffici Provinciali  della Motorizzazione Civile</w:t>
      </w:r>
      <w:r>
        <w:rPr>
          <w:rFonts w:eastAsia="SimSun" w:cs="Cambria" w:ascii="Cambria" w:hAnsi="Cambria"/>
          <w:color w:val="231F20"/>
          <w:sz w:val="22"/>
          <w:szCs w:val="22"/>
        </w:rPr>
        <w:t>, verificano la sussistenza dei requisiti soggettivi ed oggettivi prescritti anche attraverso sopralluoghi, atti alla verifica preventiva della disponibilità di idonei locali ed il possesso delle attrezzature richieste con particolare riguardo alla conformità della struttura e dei materiali didattici e dell'elenco dei docenti con i relativi, rilascia l’autorizzazione all'organizzazione ed erogazione dei corsi.</w:t>
      </w:r>
    </w:p>
    <w:p>
      <w:pPr>
        <w:pStyle w:val="Standard"/>
        <w:widowControl/>
        <w:numPr>
          <w:ilvl w:val="1"/>
          <w:numId w:val="1"/>
        </w:numPr>
        <w:tabs>
          <w:tab w:val="clear" w:pos="720"/>
          <w:tab w:val="left" w:pos="1018" w:leader="none"/>
        </w:tabs>
        <w:suppressAutoHyphens w:val="true"/>
        <w:bidi w:val="0"/>
        <w:spacing w:lineRule="auto" w:line="228" w:before="113" w:after="0"/>
        <w:ind w:left="510" w:right="113" w:firstLine="113"/>
        <w:jc w:val="both"/>
        <w:textAlignment w:val="baseline"/>
        <w:rPr/>
      </w:pPr>
      <w:r>
        <w:rPr>
          <w:rFonts w:eastAsia="SimSun" w:cs="Cambria" w:ascii="Cambria" w:hAnsi="Cambria"/>
          <w:color w:val="231F20"/>
          <w:sz w:val="22"/>
          <w:szCs w:val="22"/>
        </w:rPr>
        <w:t xml:space="preserve">Eventuale richiesta di integrazione dell’autorizzazione necessita ulteriore richiesta con integrazione della documentazione necessaria e secondo quanto previsto dal successivo art. 4. </w:t>
      </w:r>
    </w:p>
    <w:p>
      <w:pPr>
        <w:pStyle w:val="Standard"/>
        <w:numPr>
          <w:ilvl w:val="0"/>
          <w:numId w:val="1"/>
        </w:numPr>
        <w:spacing w:lineRule="auto" w:line="228" w:before="113" w:after="0"/>
        <w:ind w:left="360" w:right="130" w:hanging="218"/>
        <w:jc w:val="both"/>
        <w:rPr>
          <w:rFonts w:ascii="Cambria" w:hAnsi="Cambria" w:eastAsia="SimSun" w:cs="Cambria"/>
          <w:color w:val="231F20"/>
          <w:sz w:val="22"/>
          <w:szCs w:val="22"/>
        </w:rPr>
      </w:pPr>
      <w:r>
        <w:rPr>
          <w:rFonts w:eastAsia="SimSun" w:cs="Cambria" w:ascii="Cambria" w:hAnsi="Cambria"/>
          <w:color w:val="231F20"/>
          <w:sz w:val="22"/>
          <w:szCs w:val="22"/>
        </w:rPr>
        <w:t xml:space="preserve">  </w:t>
      </w:r>
      <w:r>
        <w:rPr>
          <w:rFonts w:eastAsia="SimSun" w:cs="Cambria" w:ascii="Cambria" w:hAnsi="Cambria"/>
          <w:color w:val="231F20"/>
          <w:sz w:val="22"/>
          <w:szCs w:val="22"/>
        </w:rPr>
        <w:t>Qualora un soggetto erogatore dei corsi sia stato destinatario, per due volte nell'arco di due anni,   di qualsiasi provvedimento sanzionatorio per irregolare svolgimento dei corsi, l’Ufficio della  Motorizzazione Civile territorialmente competente adotta il provvedimento di revoca dell'autorizzazione. In tal caso, non è possibile presentare nuova istanza di autorizzazione prima che siano trascorsi dodici mesi dall'adozione del provvedimento di revoca della precedente autorizzazione.</w:t>
      </w:r>
    </w:p>
    <w:p>
      <w:pPr>
        <w:pStyle w:val="Normal"/>
        <w:rPr>
          <w:rFonts w:ascii="Cambria" w:hAnsi="Cambria"/>
          <w:sz w:val="22"/>
          <w:szCs w:val="22"/>
        </w:rPr>
      </w:pPr>
      <w:r>
        <w:rPr>
          <w:rFonts w:ascii="Cambria" w:hAnsi="Cambria"/>
          <w:sz w:val="22"/>
          <w:szCs w:val="22"/>
        </w:rPr>
      </w:r>
    </w:p>
    <w:p>
      <w:pPr>
        <w:pStyle w:val="Standard"/>
        <w:spacing w:lineRule="atLeast" w:line="284" w:before="261" w:after="0"/>
        <w:ind w:left="352" w:right="11" w:hanging="0"/>
        <w:jc w:val="center"/>
        <w:rPr/>
      </w:pPr>
      <w:r>
        <w:rPr>
          <w:rFonts w:eastAsia="SimSun" w:cs="Cambria" w:ascii="Cambria" w:hAnsi="Cambria"/>
          <w:b/>
          <w:bCs/>
          <w:color w:val="231F20"/>
          <w:sz w:val="22"/>
          <w:szCs w:val="22"/>
        </w:rPr>
        <w:t xml:space="preserve">Art. 5 </w:t>
      </w:r>
    </w:p>
    <w:p>
      <w:pPr>
        <w:pStyle w:val="Standard"/>
        <w:spacing w:lineRule="atLeast" w:line="266" w:before="280" w:after="0"/>
        <w:ind w:left="306" w:hanging="0"/>
        <w:jc w:val="center"/>
        <w:rPr/>
      </w:pPr>
      <w:r>
        <w:rPr>
          <w:rFonts w:eastAsia="SimSun" w:cs="Cambria" w:ascii="Cambria" w:hAnsi="Cambria"/>
          <w:color w:val="231F20"/>
          <w:sz w:val="22"/>
          <w:szCs w:val="22"/>
          <w:u w:val="single"/>
        </w:rPr>
        <w:t>Adempimenti</w:t>
      </w:r>
    </w:p>
    <w:p>
      <w:pPr>
        <w:pStyle w:val="Standard"/>
        <w:widowControl/>
        <w:suppressAutoHyphens w:val="true"/>
        <w:bidi w:val="0"/>
        <w:spacing w:lineRule="auto" w:line="228" w:before="280" w:after="0"/>
        <w:ind w:left="-57" w:right="113" w:hanging="0"/>
        <w:jc w:val="both"/>
        <w:textAlignment w:val="baseline"/>
        <w:rPr/>
      </w:pPr>
      <w:r>
        <w:rPr>
          <w:rFonts w:eastAsia="SimSun" w:cs="Cambria" w:ascii="Cambria" w:hAnsi="Cambria"/>
          <w:color w:val="231F20"/>
          <w:sz w:val="22"/>
          <w:szCs w:val="22"/>
        </w:rPr>
        <w:t>I soggetti richiedenti devono allegare all'istanza i seguenti versamenti:</w:t>
      </w:r>
    </w:p>
    <w:p>
      <w:pPr>
        <w:pStyle w:val="Standard"/>
        <w:numPr>
          <w:ilvl w:val="0"/>
          <w:numId w:val="2"/>
        </w:numPr>
        <w:tabs>
          <w:tab w:val="clear" w:pos="720"/>
          <w:tab w:val="left" w:pos="-887" w:leader="none"/>
        </w:tabs>
        <w:spacing w:lineRule="auto" w:line="228" w:before="280" w:after="0"/>
        <w:jc w:val="both"/>
        <w:rPr/>
      </w:pPr>
      <w:r>
        <w:rPr>
          <w:rFonts w:eastAsia="SimSun" w:cs="Cambria" w:ascii="Cambria" w:hAnsi="Cambria"/>
          <w:color w:val="231F20"/>
          <w:sz w:val="22"/>
          <w:szCs w:val="22"/>
        </w:rPr>
        <w:t>attestazione di pagamento di € 103,29 da generare autonomamente dal sito www.ilportaledellautomobilista.it (con accesso SPID) selezionando il codice S039;</w:t>
      </w:r>
    </w:p>
    <w:p>
      <w:pPr>
        <w:pStyle w:val="Standard"/>
        <w:numPr>
          <w:ilvl w:val="0"/>
          <w:numId w:val="2"/>
        </w:numPr>
        <w:tabs>
          <w:tab w:val="clear" w:pos="720"/>
          <w:tab w:val="left" w:pos="-887" w:leader="none"/>
        </w:tabs>
        <w:spacing w:lineRule="auto" w:line="228" w:before="280" w:after="0"/>
        <w:jc w:val="both"/>
        <w:rPr/>
      </w:pPr>
      <w:r>
        <w:rPr>
          <w:rFonts w:eastAsia="SimSun" w:cs="Cambria" w:ascii="Cambria" w:hAnsi="Cambria"/>
          <w:color w:val="231F20"/>
          <w:sz w:val="22"/>
          <w:szCs w:val="22"/>
        </w:rPr>
        <w:t>attestazione di pagamento di € 16,00 da generare come sopra, con codice tariffa S019;</w:t>
      </w:r>
    </w:p>
    <w:p>
      <w:pPr>
        <w:pStyle w:val="Standard"/>
        <w:tabs>
          <w:tab w:val="clear" w:pos="720"/>
          <w:tab w:val="left" w:pos="-887" w:leader="none"/>
        </w:tabs>
        <w:spacing w:lineRule="auto" w:line="228" w:before="280" w:after="0"/>
        <w:jc w:val="both"/>
        <w:rPr/>
      </w:pPr>
      <w:r>
        <w:rPr>
          <w:rFonts w:eastAsia="SimSun" w:cs="Cambria" w:ascii="Cambria" w:hAnsi="Cambria"/>
          <w:color w:val="231F20"/>
          <w:sz w:val="21"/>
          <w:szCs w:val="21"/>
        </w:rPr>
        <w:t xml:space="preserve">Successivamente, </w:t>
      </w:r>
      <w:r>
        <w:rPr>
          <w:rFonts w:eastAsia="SimSun" w:cs="Cambria" w:ascii="Cambria" w:hAnsi="Cambria"/>
          <w:color w:val="231F20"/>
          <w:sz w:val="22"/>
          <w:szCs w:val="22"/>
        </w:rPr>
        <w:t>l’Ufficio della  Motorizzazione Civile territorialmente competente</w:t>
      </w:r>
      <w:r>
        <w:rPr>
          <w:rFonts w:eastAsia="SimSun" w:cs="Cambria" w:ascii="Cambria" w:hAnsi="Cambria"/>
          <w:color w:val="231F20"/>
          <w:sz w:val="21"/>
          <w:szCs w:val="21"/>
        </w:rPr>
        <w:t xml:space="preserve"> disporrà una visita ispettiva iniziale con il personale appartenente al Dipartimento stesso, al fine di verificare la sussistenza dei requisiti richiesti per il rilascio del nullaosta o dell'autorizzazione. Gli oneri per il rimborso delle spese di missione del personale, sia per lev isite ispettive iniziali che per quelle periodiche, sono poste a carico delle Autoscuole, dei Centri di Istruzione e degli Enti di Formazione, ai sensi e con le modalità previste dall'art. 19 della legge 1dicembre1986, n. 870.</w:t>
      </w:r>
    </w:p>
    <w:p>
      <w:pPr>
        <w:pStyle w:val="Standard"/>
        <w:spacing w:before="261" w:after="0"/>
        <w:ind w:left="476" w:right="6" w:hanging="363"/>
        <w:jc w:val="center"/>
        <w:rPr>
          <w:rFonts w:ascii="Cambria" w:hAnsi="Cambria" w:eastAsia="SimSun" w:cs="Cambria"/>
          <w:b/>
          <w:b/>
          <w:bCs/>
          <w:color w:val="231F20"/>
          <w:sz w:val="22"/>
          <w:szCs w:val="22"/>
        </w:rPr>
      </w:pPr>
      <w:r>
        <w:rPr>
          <w:rFonts w:eastAsia="SimSun" w:cs="Cambria" w:ascii="Cambria" w:hAnsi="Cambria"/>
          <w:b/>
          <w:bCs/>
          <w:color w:val="231F20"/>
          <w:sz w:val="22"/>
          <w:szCs w:val="22"/>
        </w:rPr>
      </w:r>
    </w:p>
    <w:p>
      <w:pPr>
        <w:pStyle w:val="Standard"/>
        <w:spacing w:before="261" w:after="0"/>
        <w:ind w:left="476" w:right="6" w:hanging="363"/>
        <w:jc w:val="center"/>
        <w:rPr>
          <w:rFonts w:ascii="Cambria" w:hAnsi="Cambria" w:eastAsia="SimSun" w:cs="Cambria"/>
          <w:b/>
          <w:b/>
          <w:bCs/>
          <w:color w:val="231F20"/>
          <w:sz w:val="22"/>
          <w:szCs w:val="22"/>
        </w:rPr>
      </w:pPr>
      <w:r>
        <w:rPr>
          <w:rFonts w:eastAsia="SimSun" w:cs="Cambria" w:ascii="Cambria" w:hAnsi="Cambria"/>
          <w:b/>
          <w:bCs/>
          <w:color w:val="231F20"/>
          <w:sz w:val="22"/>
          <w:szCs w:val="22"/>
        </w:rPr>
      </w:r>
    </w:p>
    <w:p>
      <w:pPr>
        <w:pStyle w:val="Standard"/>
        <w:spacing w:before="261" w:after="0"/>
        <w:ind w:left="476" w:right="6" w:hanging="363"/>
        <w:jc w:val="center"/>
        <w:rPr>
          <w:rFonts w:ascii="Cambria" w:hAnsi="Cambria" w:eastAsia="SimSun" w:cs="Cambria"/>
          <w:b/>
          <w:b/>
          <w:bCs/>
          <w:color w:val="231F20"/>
          <w:sz w:val="22"/>
          <w:szCs w:val="22"/>
        </w:rPr>
      </w:pPr>
      <w:r>
        <w:rPr>
          <w:rFonts w:eastAsia="SimSun" w:cs="Cambria" w:ascii="Cambria" w:hAnsi="Cambria"/>
          <w:b/>
          <w:bCs/>
          <w:color w:val="231F20"/>
          <w:sz w:val="22"/>
          <w:szCs w:val="22"/>
        </w:rPr>
      </w:r>
    </w:p>
    <w:p>
      <w:pPr>
        <w:pStyle w:val="Standard"/>
        <w:spacing w:before="261" w:after="0"/>
        <w:ind w:left="476" w:right="6" w:hanging="363"/>
        <w:jc w:val="center"/>
        <w:rPr/>
      </w:pPr>
      <w:r>
        <w:rPr>
          <w:rFonts w:eastAsia="SimSun" w:cs="Cambria" w:ascii="Cambria" w:hAnsi="Cambria"/>
          <w:b/>
          <w:bCs/>
          <w:color w:val="231F20"/>
          <w:sz w:val="22"/>
          <w:szCs w:val="22"/>
        </w:rPr>
        <w:t>Art. 6</w:t>
      </w:r>
    </w:p>
    <w:p>
      <w:pPr>
        <w:pStyle w:val="Standard"/>
        <w:spacing w:lineRule="atLeast" w:line="284" w:before="108" w:after="0"/>
        <w:ind w:left="476" w:right="11" w:hanging="0"/>
        <w:jc w:val="center"/>
        <w:rPr/>
      </w:pPr>
      <w:r>
        <w:rPr>
          <w:rFonts w:eastAsia="SimSun" w:cs="Cambria" w:ascii="Cambria" w:hAnsi="Cambria"/>
          <w:color w:val="231F20"/>
          <w:sz w:val="22"/>
          <w:szCs w:val="22"/>
          <w:u w:val="single"/>
        </w:rPr>
        <w:t>Svolgimento dei corsi di formazione iniziale e periodica</w:t>
      </w:r>
    </w:p>
    <w:p>
      <w:pPr>
        <w:pStyle w:val="Standard"/>
        <w:spacing w:lineRule="atLeast" w:line="284" w:before="108" w:after="0"/>
        <w:ind w:left="476" w:right="11" w:hanging="0"/>
        <w:jc w:val="center"/>
        <w:rPr>
          <w:rFonts w:ascii="Cambria" w:hAnsi="Cambria" w:eastAsia="SimSun" w:cs="Cambria"/>
          <w:color w:val="231F20"/>
          <w:sz w:val="22"/>
          <w:szCs w:val="22"/>
          <w:u w:val="single"/>
        </w:rPr>
      </w:pPr>
      <w:r>
        <w:rPr>
          <w:rFonts w:eastAsia="SimSun" w:cs="Cambria" w:ascii="Cambria" w:hAnsi="Cambria"/>
          <w:color w:val="231F20"/>
          <w:sz w:val="22"/>
          <w:szCs w:val="22"/>
          <w:u w:val="single"/>
        </w:rPr>
      </w:r>
    </w:p>
    <w:p>
      <w:pPr>
        <w:pStyle w:val="Standard"/>
        <w:numPr>
          <w:ilvl w:val="0"/>
          <w:numId w:val="3"/>
        </w:numPr>
        <w:spacing w:lineRule="auto" w:line="216" w:before="6" w:after="0"/>
        <w:ind w:left="791" w:right="74" w:hanging="360"/>
        <w:jc w:val="both"/>
        <w:rPr>
          <w:rFonts w:ascii="Cambria" w:hAnsi="Cambria" w:eastAsia="SimSun" w:cs="Cambria"/>
          <w:color w:val="231F20"/>
          <w:sz w:val="22"/>
          <w:szCs w:val="22"/>
        </w:rPr>
      </w:pPr>
      <w:r>
        <w:rPr>
          <w:rFonts w:eastAsia="SimSun" w:cs="Cambria" w:ascii="Cambria" w:hAnsi="Cambria"/>
          <w:color w:val="231F20"/>
          <w:sz w:val="22"/>
          <w:szCs w:val="22"/>
        </w:rPr>
        <w:t xml:space="preserve">I soggetti di cui all’art. 1, lett. a), b) e c), svolgono i corsi di cui al presente regolamento presso le proprie sedi e comunicano a mezzo PEC, almeno tre giorni lavorativi precedenti, l'avvio del corso al servizio provinciale della Motorizzazione Civile territorialmente competente, indicando la data di inizio e di fine corso, il calendario delle lezioni, l’elenco dei docenti e dei partecipanti. </w:t>
      </w:r>
    </w:p>
    <w:p>
      <w:pPr>
        <w:pStyle w:val="Standard"/>
        <w:numPr>
          <w:ilvl w:val="0"/>
          <w:numId w:val="3"/>
        </w:numPr>
        <w:spacing w:lineRule="auto" w:line="216" w:before="6" w:after="0"/>
        <w:ind w:left="791" w:right="74" w:hanging="360"/>
        <w:jc w:val="both"/>
        <w:rPr/>
      </w:pPr>
      <w:r>
        <w:rPr>
          <w:rFonts w:eastAsia="SimSun" w:cs="Cambria" w:ascii="Cambria" w:hAnsi="Cambria"/>
          <w:color w:val="231F20"/>
          <w:sz w:val="22"/>
          <w:szCs w:val="22"/>
        </w:rPr>
        <w:t>I corsi di formazione iniziale e periodica per insegnanti e istruttori di autoscuola si svolgono con le procedure e le modalità di cui agli artt. 2 ,4, 7, 9, 10  e 11 del Decreto del Ministro delle Infrastrutture e dei Trasporti  26 gennaio 2011 n.17 modificato dal Decreto Ministeriale 01 febbraio 2024 n. 34 .</w:t>
      </w:r>
    </w:p>
    <w:p>
      <w:pPr>
        <w:pStyle w:val="Standard"/>
        <w:numPr>
          <w:ilvl w:val="0"/>
          <w:numId w:val="3"/>
        </w:numPr>
        <w:spacing w:lineRule="auto" w:line="216" w:before="6" w:after="0"/>
        <w:ind w:left="791" w:right="74" w:hanging="360"/>
        <w:jc w:val="both"/>
        <w:rPr/>
      </w:pPr>
      <w:r>
        <w:rPr>
          <w:rFonts w:eastAsia="SimSun" w:cs="Cambria" w:ascii="Cambria" w:hAnsi="Cambria"/>
          <w:color w:val="231F20"/>
          <w:sz w:val="22"/>
          <w:szCs w:val="22"/>
        </w:rPr>
        <w:t>Per le estensioni delle abilitazioni si applicano le disposizioni di cui all'art.10 del citato Decreto del Ministro delle Infrastrutture e dei Trasporti 26 gennaio 2011 n.17 modificato dal Decreto Ministeriale 01 febbraio 2024 n. 34.</w:t>
      </w:r>
    </w:p>
    <w:p>
      <w:pPr>
        <w:pStyle w:val="Standard"/>
        <w:numPr>
          <w:ilvl w:val="0"/>
          <w:numId w:val="3"/>
        </w:numPr>
        <w:spacing w:lineRule="auto" w:line="216" w:before="6" w:after="0"/>
        <w:ind w:left="791" w:right="74" w:hanging="360"/>
        <w:jc w:val="both"/>
        <w:rPr/>
      </w:pPr>
      <w:r>
        <w:rPr>
          <w:rFonts w:ascii="Cambria" w:hAnsi="Cambria"/>
          <w:sz w:val="22"/>
          <w:szCs w:val="22"/>
        </w:rPr>
        <w:t xml:space="preserve">I corsi sono svolti dalle figure professionali di cui all’ art. 12 </w:t>
      </w:r>
      <w:bookmarkStart w:id="1" w:name="_Hlk185374941"/>
      <w:r>
        <w:rPr>
          <w:rFonts w:eastAsia="SimSun" w:cs="Cambria" w:ascii="Cambria" w:hAnsi="Cambria"/>
          <w:color w:val="231F20"/>
          <w:sz w:val="22"/>
          <w:szCs w:val="22"/>
        </w:rPr>
        <w:t>del Decreto del Ministro delle Infrastrutture e dei Trasporti 26 gennaio 2011 n.17 modificato dal Decreto Ministeriale 01 febbraio 2024 n. 34</w:t>
      </w:r>
      <w:bookmarkEnd w:id="1"/>
      <w:r>
        <w:rPr>
          <w:rFonts w:eastAsia="SimSun" w:cs="Cambria" w:ascii="Cambria" w:hAnsi="Cambria"/>
          <w:color w:val="231F20"/>
          <w:sz w:val="22"/>
          <w:szCs w:val="22"/>
        </w:rPr>
        <w:t>.</w:t>
      </w:r>
    </w:p>
    <w:p>
      <w:pPr>
        <w:pStyle w:val="Standard"/>
        <w:numPr>
          <w:ilvl w:val="0"/>
          <w:numId w:val="3"/>
        </w:numPr>
        <w:spacing w:lineRule="auto" w:line="216" w:before="6" w:after="0"/>
        <w:ind w:left="791" w:right="74" w:hanging="360"/>
        <w:jc w:val="both"/>
        <w:rPr>
          <w:rFonts w:ascii="Cambria" w:hAnsi="Cambria"/>
          <w:sz w:val="22"/>
          <w:szCs w:val="22"/>
        </w:rPr>
      </w:pPr>
      <w:r>
        <w:rPr>
          <w:rFonts w:ascii="Cambria" w:hAnsi="Cambria"/>
          <w:sz w:val="22"/>
          <w:szCs w:val="22"/>
        </w:rPr>
        <w:t>I corsi possono essere svolti in una o più giornate ed ogni lezione ha una durata minima di due ore e massimo otto ore giornaliere. Possono essere svolti dal lunedì al venerdì dalle ore 8:00 alle ore 22:00 e nelle giornate di sabato e domenica dalle ore 8:00 alle ore 16:00.</w:t>
      </w:r>
    </w:p>
    <w:p>
      <w:pPr>
        <w:pStyle w:val="Standard"/>
        <w:numPr>
          <w:ilvl w:val="0"/>
          <w:numId w:val="3"/>
        </w:numPr>
        <w:spacing w:lineRule="auto" w:line="216" w:before="6" w:after="0"/>
        <w:ind w:left="791" w:right="74" w:hanging="360"/>
        <w:jc w:val="both"/>
        <w:rPr/>
      </w:pPr>
      <w:r>
        <w:rPr>
          <w:rFonts w:ascii="Cambria" w:hAnsi="Cambria"/>
          <w:sz w:val="22"/>
          <w:szCs w:val="22"/>
        </w:rPr>
        <w:t>I partecipanti che intendono conseguire rispettivamente l’abilitazione di insegnante e di istruttore di autoscuola devono possedere, entro la comunicazione di avvio dei rispettivi corsi, i requisiti previsti di cui agli artt. 1 e 6 d</w:t>
      </w:r>
      <w:r>
        <w:rPr>
          <w:rFonts w:eastAsia="SimSun" w:cs="Cambria" w:ascii="Cambria" w:hAnsi="Cambria"/>
          <w:color w:val="231F20"/>
          <w:sz w:val="22"/>
          <w:szCs w:val="22"/>
        </w:rPr>
        <w:t>el Decreto del Ministro delle Infrastrutture e dei Trasporti 26 gennaio 2011 n.17 modificato dal Decreto Ministeriale 01 febbraio 2024 n. 34.</w:t>
      </w:r>
    </w:p>
    <w:p>
      <w:pPr>
        <w:pStyle w:val="Standard"/>
        <w:numPr>
          <w:ilvl w:val="0"/>
          <w:numId w:val="3"/>
        </w:numPr>
        <w:spacing w:lineRule="auto" w:line="216" w:before="6" w:after="0"/>
        <w:ind w:left="791" w:right="74" w:hanging="360"/>
        <w:jc w:val="both"/>
        <w:rPr/>
      </w:pPr>
      <w:r>
        <w:rPr>
          <w:rFonts w:ascii="Cambria" w:hAnsi="Cambria"/>
          <w:sz w:val="22"/>
          <w:szCs w:val="22"/>
        </w:rPr>
        <w:t xml:space="preserve">I partecipanti del corso sono iscritti nel registro di frequenza debitamente vidimato dal </w:t>
      </w:r>
      <w:r>
        <w:rPr>
          <w:rFonts w:eastAsia="SimSun" w:cs="Cambria" w:ascii="Cambria" w:hAnsi="Cambria"/>
          <w:color w:val="231F20"/>
          <w:sz w:val="22"/>
          <w:szCs w:val="22"/>
        </w:rPr>
        <w:t>servizio provinciale della Motorizzazione Civile territorialmente competente</w:t>
      </w:r>
      <w:r>
        <w:rPr>
          <w:rFonts w:ascii="Cambria" w:hAnsi="Cambria"/>
          <w:sz w:val="22"/>
          <w:szCs w:val="22"/>
        </w:rPr>
        <w:t xml:space="preserve"> in concomitanza della comunicazione di inizio corso di cui al comma 1.</w:t>
      </w:r>
    </w:p>
    <w:p>
      <w:pPr>
        <w:pStyle w:val="Standard"/>
        <w:numPr>
          <w:ilvl w:val="0"/>
          <w:numId w:val="3"/>
        </w:numPr>
        <w:spacing w:lineRule="auto" w:line="216" w:before="6" w:after="0"/>
        <w:ind w:left="791" w:right="74" w:hanging="360"/>
        <w:jc w:val="both"/>
        <w:rPr/>
      </w:pPr>
      <w:r>
        <w:rPr>
          <w:rFonts w:ascii="Cambria" w:hAnsi="Cambria"/>
          <w:sz w:val="22"/>
          <w:szCs w:val="22"/>
        </w:rPr>
        <w:t xml:space="preserve">Ogni eventuale modifica del calendario delle lezioni, dei docenti e dei partecipanti dovrà essere comunicata, a mezzo PEC, al </w:t>
      </w:r>
      <w:r>
        <w:rPr>
          <w:rFonts w:eastAsia="SimSun" w:cs="Cambria" w:ascii="Cambria" w:hAnsi="Cambria"/>
          <w:color w:val="231F20"/>
          <w:sz w:val="22"/>
          <w:szCs w:val="22"/>
        </w:rPr>
        <w:t xml:space="preserve">servizio provinciale della Motorizzazione Civile territorialmente competente, entro le ore 20:00 del giorno lavorativo precedente. </w:t>
      </w:r>
    </w:p>
    <w:p>
      <w:pPr>
        <w:pStyle w:val="Standard"/>
        <w:numPr>
          <w:ilvl w:val="0"/>
          <w:numId w:val="3"/>
        </w:numPr>
        <w:spacing w:lineRule="auto" w:line="216" w:before="6" w:after="0"/>
        <w:ind w:left="791" w:right="74" w:hanging="360"/>
        <w:jc w:val="both"/>
        <w:rPr>
          <w:rFonts w:ascii="Cambria" w:hAnsi="Cambria"/>
          <w:sz w:val="22"/>
          <w:szCs w:val="22"/>
        </w:rPr>
      </w:pPr>
      <w:r>
        <w:rPr>
          <w:rFonts w:ascii="Cambria" w:hAnsi="Cambria"/>
          <w:sz w:val="22"/>
          <w:szCs w:val="22"/>
        </w:rPr>
        <w:t>Ogni corso può essere frequentato da un numero massimo di partecipanti nel rispetto dei limiti di capienza delle aule previste dalle norme vigenti in materia e comunque tale da garantire una superficie minima di almeno mq 1,5 per partecipante.</w:t>
      </w:r>
    </w:p>
    <w:p>
      <w:pPr>
        <w:pStyle w:val="Standard"/>
        <w:spacing w:lineRule="atLeast" w:line="284" w:before="261" w:after="0"/>
        <w:ind w:left="476" w:right="6" w:hanging="363"/>
        <w:jc w:val="center"/>
        <w:rPr/>
      </w:pPr>
      <w:r>
        <w:rPr>
          <w:rFonts w:eastAsia="SimSun" w:cs="Cambria" w:ascii="Cambria" w:hAnsi="Cambria"/>
          <w:b/>
          <w:bCs/>
          <w:color w:val="231F20"/>
          <w:sz w:val="22"/>
          <w:szCs w:val="22"/>
        </w:rPr>
        <w:t>Art. 7</w:t>
      </w:r>
    </w:p>
    <w:p>
      <w:pPr>
        <w:pStyle w:val="Standard"/>
        <w:spacing w:lineRule="atLeast" w:line="278" w:before="280" w:after="0"/>
        <w:ind w:left="476" w:right="17" w:hanging="0"/>
        <w:jc w:val="center"/>
        <w:rPr/>
      </w:pPr>
      <w:r>
        <w:rPr>
          <w:rFonts w:eastAsia="SimSun" w:cs="Cambria" w:ascii="Cambria" w:hAnsi="Cambria"/>
          <w:color w:val="231F20"/>
          <w:sz w:val="22"/>
          <w:szCs w:val="22"/>
          <w:u w:val="single"/>
        </w:rPr>
        <w:t>Attestazione frequenza corsi di formazione iniziale e periodica</w:t>
      </w:r>
    </w:p>
    <w:p>
      <w:pPr>
        <w:pStyle w:val="Standard"/>
        <w:spacing w:lineRule="auto" w:line="216" w:before="6" w:after="0"/>
        <w:ind w:left="539" w:right="79" w:firstLine="11"/>
        <w:jc w:val="both"/>
        <w:rPr>
          <w:rFonts w:ascii="Cambria" w:hAnsi="Cambria" w:eastAsia="SimSun" w:cs="Cambria"/>
          <w:color w:val="231F20"/>
          <w:sz w:val="22"/>
          <w:szCs w:val="22"/>
        </w:rPr>
      </w:pPr>
      <w:r>
        <w:rPr>
          <w:rFonts w:eastAsia="SimSun" w:cs="Cambria" w:ascii="Cambria" w:hAnsi="Cambria"/>
          <w:color w:val="231F20"/>
          <w:sz w:val="22"/>
          <w:szCs w:val="22"/>
        </w:rPr>
      </w:r>
    </w:p>
    <w:p>
      <w:pPr>
        <w:pStyle w:val="Standard"/>
        <w:widowControl/>
        <w:suppressAutoHyphens w:val="true"/>
        <w:bidi w:val="0"/>
        <w:spacing w:lineRule="auto" w:line="216" w:before="6" w:after="0"/>
        <w:ind w:left="397" w:right="57" w:hanging="0"/>
        <w:jc w:val="both"/>
        <w:textAlignment w:val="baseline"/>
        <w:rPr/>
      </w:pPr>
      <w:r>
        <w:rPr>
          <w:rFonts w:eastAsia="SimSun" w:cs="Cambria" w:ascii="Cambria" w:hAnsi="Cambria"/>
          <w:color w:val="231F20"/>
          <w:sz w:val="22"/>
          <w:szCs w:val="22"/>
        </w:rPr>
        <w:t xml:space="preserve">Gli enti erogatori del corso di cui all’art.1, al termine dello svolgimento del corso di formazione iniziale, rilasciano all'allievo un attestato di frequenza secondo i fac-simile di cui agli </w:t>
      </w:r>
      <w:r>
        <w:rPr>
          <w:rFonts w:eastAsia="SimSun" w:cs="Cambria" w:ascii="Cambria" w:hAnsi="Cambria"/>
          <w:b/>
          <w:bCs/>
          <w:color w:val="231F20"/>
          <w:sz w:val="22"/>
          <w:szCs w:val="22"/>
        </w:rPr>
        <w:t xml:space="preserve">allegati </w:t>
      </w:r>
      <w:r>
        <w:rPr>
          <w:rFonts w:eastAsia="SimSun" w:cs="Cambria" w:ascii="Cambria" w:hAnsi="Cambria"/>
          <w:b/>
          <w:bCs/>
          <w:color w:val="231F20"/>
          <w:sz w:val="22"/>
          <w:szCs w:val="22"/>
        </w:rPr>
        <w:t>1A</w:t>
      </w:r>
      <w:r>
        <w:rPr>
          <w:rFonts w:eastAsia="SimSun" w:cs="Cambria" w:ascii="Cambria" w:hAnsi="Cambria"/>
          <w:b/>
          <w:bCs/>
          <w:color w:val="231F20"/>
          <w:sz w:val="22"/>
          <w:szCs w:val="22"/>
        </w:rPr>
        <w:t xml:space="preserve">) </w:t>
      </w:r>
      <w:r>
        <w:rPr>
          <w:rFonts w:eastAsia="SimSun" w:cs="Cambria" w:ascii="Cambria" w:hAnsi="Cambria"/>
          <w:b w:val="false"/>
          <w:bCs w:val="false"/>
          <w:color w:val="231F20"/>
          <w:sz w:val="22"/>
          <w:szCs w:val="22"/>
        </w:rPr>
        <w:t>e</w:t>
      </w:r>
      <w:r>
        <w:rPr>
          <w:rFonts w:eastAsia="SimSun" w:cs="Cambria" w:ascii="Cambria" w:hAnsi="Cambria"/>
          <w:b/>
          <w:bCs/>
          <w:color w:val="231F20"/>
          <w:sz w:val="22"/>
          <w:szCs w:val="22"/>
        </w:rPr>
        <w:t xml:space="preserve"> </w:t>
      </w:r>
      <w:r>
        <w:rPr>
          <w:rFonts w:eastAsia="SimSun" w:cs="Cambria" w:ascii="Cambria" w:hAnsi="Cambria"/>
          <w:b/>
          <w:bCs/>
          <w:color w:val="231F20"/>
          <w:sz w:val="22"/>
          <w:szCs w:val="22"/>
        </w:rPr>
        <w:t>1B</w:t>
      </w:r>
      <w:r>
        <w:rPr>
          <w:rFonts w:eastAsia="SimSun" w:cs="Cambria" w:ascii="Cambria" w:hAnsi="Cambria"/>
          <w:b/>
          <w:bCs/>
          <w:color w:val="231F20"/>
          <w:sz w:val="22"/>
          <w:szCs w:val="22"/>
        </w:rPr>
        <w:t>)</w:t>
      </w:r>
      <w:r>
        <w:rPr>
          <w:rFonts w:eastAsia="SimSun" w:cs="Cambria" w:ascii="Cambria" w:hAnsi="Cambria"/>
          <w:color w:val="231F20"/>
          <w:sz w:val="22"/>
          <w:szCs w:val="22"/>
        </w:rPr>
        <w:t>, i cui contenuti minimi sono quelli indicati nel Decreto del Ministro delle Infrastrutture e dei Trasporti 26 gennaio 2011 n.17 modificato dal Decreto Ministeriale 01 febbraio 2024 n. 34, da presentare alla Segreteria della Commissione di esami di cui al successivo art. 8, in allegato all'istanza di ammissione all'esame, e trasmette l'elenco completo degli attestati rilasciati per ciascun corso al servizio provinciale della Motorizzazione Civile territorialmente competente in ragione del luogo ove ha sede il soggetto erogatore stesso.</w:t>
      </w:r>
    </w:p>
    <w:p>
      <w:pPr>
        <w:pStyle w:val="Standard"/>
        <w:spacing w:lineRule="auto" w:line="216" w:before="6" w:after="0"/>
        <w:ind w:left="720" w:right="79" w:hanging="0"/>
        <w:jc w:val="both"/>
        <w:rPr>
          <w:rFonts w:ascii="Cambria" w:hAnsi="Cambria"/>
          <w:sz w:val="22"/>
          <w:szCs w:val="22"/>
        </w:rPr>
      </w:pPr>
      <w:r>
        <w:rPr>
          <w:rFonts w:ascii="Cambria" w:hAnsi="Cambria"/>
          <w:sz w:val="22"/>
          <w:szCs w:val="22"/>
        </w:rPr>
      </w:r>
    </w:p>
    <w:p>
      <w:pPr>
        <w:pStyle w:val="Standard"/>
        <w:widowControl/>
        <w:suppressAutoHyphens w:val="true"/>
        <w:bidi w:val="0"/>
        <w:spacing w:lineRule="auto" w:line="216" w:before="6" w:after="0"/>
        <w:ind w:left="397" w:right="57" w:hanging="0"/>
        <w:jc w:val="both"/>
        <w:textAlignment w:val="baseline"/>
        <w:rPr/>
      </w:pPr>
      <w:r>
        <w:rPr>
          <w:rFonts w:eastAsia="SimSun" w:cs="Cambria" w:ascii="Cambria" w:hAnsi="Cambria"/>
          <w:color w:val="231F20"/>
          <w:sz w:val="22"/>
          <w:szCs w:val="22"/>
        </w:rPr>
        <w:t>Gli enti erogatori del corso di cui all’art.1, al termine dello svolgimento del corso di formazione periodica, rilasciano all'allievo un attestato di frequenza, i cui contenuti minimi sono quelli di cui all’allegato 3-bis del Decreto del Ministro delle Infrastrutture e dei Trasporti 26 gennaio 2011 n.17 modificato dal Decreto Ministeriale 01 febbraio 2024 n. 34, e trasmette l'elenco completo degli attestati rilasciati per ciascun corso al servizio provinciale della Motorizzazione Civile territorialmente competente in ragione del luogo ove ha sede il soggetto erogatore stesso.</w:t>
      </w:r>
    </w:p>
    <w:p>
      <w:pPr>
        <w:pStyle w:val="Normal"/>
        <w:widowControl/>
        <w:suppressAutoHyphens w:val="true"/>
        <w:bidi w:val="0"/>
        <w:spacing w:lineRule="auto" w:line="228" w:before="280" w:after="0"/>
        <w:ind w:left="397" w:right="57" w:hanging="0"/>
        <w:jc w:val="both"/>
        <w:textAlignment w:val="baseline"/>
        <w:rPr/>
      </w:pPr>
      <w:r>
        <w:rPr>
          <w:rFonts w:eastAsia="SimSun" w:cs="Cambria" w:ascii="Cambria" w:hAnsi="Cambria"/>
          <w:b w:val="false"/>
          <w:bCs w:val="false"/>
          <w:color w:val="231F20"/>
          <w:sz w:val="21"/>
          <w:szCs w:val="21"/>
        </w:rPr>
        <w:t>L'attestato di frequenza dovrà essere presentato, da parte del candidato, alla Segreteria della Commissione di esami di cui al successivo art. 8, comma 7, del presente regolamento, in allegato alla istanza di ammissione all'esame per l'abilitazione redatta secondo il modello di cui all'</w:t>
      </w:r>
      <w:r>
        <w:rPr>
          <w:rFonts w:eastAsia="SimSun" w:cs="Cambria" w:ascii="Cambria" w:hAnsi="Cambria"/>
          <w:b/>
          <w:bCs/>
          <w:color w:val="231F20"/>
          <w:sz w:val="22"/>
          <w:szCs w:val="22"/>
        </w:rPr>
        <w:t xml:space="preserve">allegato </w:t>
      </w:r>
      <w:r>
        <w:rPr>
          <w:rFonts w:eastAsia="SimSun" w:cs="Cambria" w:ascii="Cambria" w:hAnsi="Cambria"/>
          <w:b/>
          <w:bCs/>
          <w:color w:val="231F20"/>
          <w:sz w:val="22"/>
          <w:szCs w:val="22"/>
        </w:rPr>
        <w:t>1C</w:t>
      </w:r>
      <w:r>
        <w:rPr>
          <w:rFonts w:eastAsia="SimSun" w:cs="Cambria" w:ascii="Cambria" w:hAnsi="Cambria"/>
          <w:b/>
          <w:bCs/>
          <w:color w:val="231F20"/>
          <w:sz w:val="22"/>
          <w:szCs w:val="22"/>
        </w:rPr>
        <w:t>)</w:t>
      </w:r>
      <w:r>
        <w:rPr>
          <w:rFonts w:eastAsia="SimSun" w:cs="Cambria" w:ascii="Cambria" w:hAnsi="Cambria"/>
          <w:b w:val="false"/>
          <w:bCs w:val="false"/>
          <w:color w:val="231F20"/>
          <w:sz w:val="21"/>
          <w:szCs w:val="21"/>
        </w:rPr>
        <w:t xml:space="preserve"> . </w:t>
      </w:r>
    </w:p>
    <w:p>
      <w:pPr>
        <w:pStyle w:val="Standard"/>
        <w:spacing w:lineRule="atLeast" w:line="284" w:before="249" w:after="0"/>
        <w:ind w:left="476" w:right="11" w:hanging="363"/>
        <w:jc w:val="center"/>
        <w:rPr/>
      </w:pPr>
      <w:r>
        <w:rPr>
          <w:rFonts w:eastAsia="SimSun" w:cs="Cambria" w:ascii="Cambria" w:hAnsi="Cambria"/>
          <w:b/>
          <w:bCs/>
          <w:color w:val="231F20"/>
          <w:sz w:val="22"/>
          <w:szCs w:val="22"/>
        </w:rPr>
        <w:t>Art. 8</w:t>
      </w:r>
    </w:p>
    <w:p>
      <w:pPr>
        <w:pStyle w:val="Standard"/>
        <w:spacing w:lineRule="atLeast" w:line="278" w:before="280" w:after="0"/>
        <w:ind w:left="476" w:right="40" w:hanging="0"/>
        <w:jc w:val="center"/>
        <w:rPr/>
      </w:pPr>
      <w:r>
        <w:rPr>
          <w:rFonts w:eastAsia="SimSun" w:cs="Cambria" w:ascii="Cambria" w:hAnsi="Cambria"/>
          <w:color w:val="231F20"/>
          <w:sz w:val="22"/>
          <w:szCs w:val="22"/>
          <w:u w:val="single"/>
        </w:rPr>
        <w:t>Svolgimento esami di abilitazione</w:t>
      </w:r>
    </w:p>
    <w:p>
      <w:pPr>
        <w:pStyle w:val="Standard"/>
        <w:spacing w:lineRule="auto" w:line="228"/>
        <w:ind w:left="544" w:right="79" w:firstLine="6"/>
        <w:jc w:val="both"/>
        <w:rPr>
          <w:rFonts w:ascii="Cambria" w:hAnsi="Cambria" w:eastAsia="SimSun" w:cs="Cambria"/>
          <w:color w:val="231F20"/>
          <w:sz w:val="22"/>
          <w:szCs w:val="22"/>
        </w:rPr>
      </w:pPr>
      <w:r>
        <w:rPr>
          <w:rFonts w:eastAsia="SimSun" w:cs="Cambria" w:ascii="Cambria" w:hAnsi="Cambria"/>
          <w:color w:val="231F20"/>
          <w:sz w:val="22"/>
          <w:szCs w:val="22"/>
        </w:rPr>
      </w:r>
    </w:p>
    <w:p>
      <w:pPr>
        <w:pStyle w:val="Standard"/>
        <w:spacing w:lineRule="auto" w:line="216" w:before="6" w:after="0"/>
        <w:ind w:right="74" w:hanging="0"/>
        <w:jc w:val="both"/>
        <w:rPr/>
      </w:pPr>
      <w:r>
        <w:rPr>
          <w:rFonts w:eastAsia="SimSun" w:cs="Cambria" w:ascii="Cambria" w:hAnsi="Cambria"/>
          <w:color w:val="231F20"/>
          <w:sz w:val="22"/>
          <w:szCs w:val="22"/>
        </w:rPr>
        <w:t>Gli esami di abilitazione si svolgono con le procedure previste dagli artt. 3, 8 e 10 del Decreto del Ministro delle Infrastrutture e dei Trasporti 26 gennaio 2011 n.17 modificato dal Decreto ministeriale 01 febbraio 2024 n. 34, e con modalità tali da garantire imparzialità, trasparenza, pari opportunità tra uomo e donna e d’assicurare economicità e celerità di espletamento.</w:t>
      </w:r>
    </w:p>
    <w:p>
      <w:pPr>
        <w:pStyle w:val="Standard"/>
        <w:spacing w:lineRule="auto" w:line="216" w:before="280" w:after="0"/>
        <w:ind w:right="68" w:hanging="6"/>
        <w:jc w:val="both"/>
        <w:rPr/>
      </w:pPr>
      <w:r>
        <w:rPr>
          <w:rFonts w:eastAsia="SimSun" w:cs="Cambria" w:ascii="Cambria" w:hAnsi="Cambria"/>
          <w:color w:val="231F20"/>
          <w:sz w:val="22"/>
          <w:szCs w:val="22"/>
        </w:rPr>
        <w:t>Gli atti di gestione del procedimento vengono adottati dal Dirigente dell’Area 5 - Coordinamento Uffici della Motorizzazione Civile del Dipartimento Regionale delle Infrastrutture, della Mobilità e dei Trasporti.</w:t>
      </w:r>
    </w:p>
    <w:p>
      <w:pPr>
        <w:pStyle w:val="Standard"/>
        <w:spacing w:lineRule="atLeast" w:line="266" w:before="280" w:after="0"/>
        <w:jc w:val="both"/>
        <w:rPr/>
      </w:pPr>
      <w:r>
        <w:rPr>
          <w:rFonts w:eastAsia="SimSun" w:cs="Cambria" w:ascii="Cambria" w:hAnsi="Cambria"/>
          <w:color w:val="231F20"/>
          <w:sz w:val="22"/>
          <w:szCs w:val="22"/>
        </w:rPr>
        <w:t>Gli esami di idoneità si svolgono, di norma, con la frequenza temporale di n. 2 sessioni annuali.</w:t>
      </w:r>
    </w:p>
    <w:p>
      <w:pPr>
        <w:pStyle w:val="Standard"/>
        <w:spacing w:lineRule="auto" w:line="228" w:before="280" w:after="0"/>
        <w:ind w:right="85" w:hanging="6"/>
        <w:jc w:val="both"/>
        <w:rPr>
          <w:rFonts w:ascii="Cambria" w:hAnsi="Cambria" w:eastAsia="SimSun" w:cs="Cambria"/>
          <w:color w:val="231F20"/>
          <w:sz w:val="22"/>
          <w:szCs w:val="22"/>
        </w:rPr>
      </w:pPr>
      <w:r>
        <w:rPr>
          <w:rFonts w:eastAsia="SimSun" w:cs="Cambria" w:ascii="Cambria" w:hAnsi="Cambria"/>
          <w:color w:val="231F20"/>
          <w:sz w:val="22"/>
          <w:szCs w:val="22"/>
        </w:rPr>
        <w:t>In relazione al numero delle istanze pervenute il Presidente della Commissione può assumere diverse determinazioni in ordine al numero delle sessioni d'esame.</w:t>
      </w:r>
    </w:p>
    <w:p>
      <w:pPr>
        <w:pStyle w:val="Standard"/>
        <w:spacing w:lineRule="auto" w:line="228" w:before="280" w:after="0"/>
        <w:ind w:right="85" w:hanging="6"/>
        <w:jc w:val="both"/>
        <w:rPr/>
      </w:pPr>
      <w:r>
        <w:rPr>
          <w:rFonts w:ascii="Cambria" w:hAnsi="Cambria"/>
          <w:sz w:val="22"/>
          <w:szCs w:val="22"/>
        </w:rPr>
        <w:t xml:space="preserve">L’apertura dei termini per la presentazione delle domande di ammissione all’esame per il conseguimento delle abilitazioni all’esercizio della professione di insegnante di teoria e/o istruttore di guida avviene mediante avviso pubblico, eventualmente distinto per tipologia d'esame in considerazione della diversità delle prove di ciascuna abilitazione, contenente tutti gli elementi e le indicazioni utili allo svolgimento del procedimento. </w:t>
      </w:r>
    </w:p>
    <w:p>
      <w:pPr>
        <w:pStyle w:val="Standard"/>
        <w:spacing w:lineRule="auto" w:line="228" w:before="280" w:after="0"/>
        <w:ind w:right="85" w:hanging="6"/>
        <w:jc w:val="both"/>
        <w:rPr/>
      </w:pPr>
      <w:r>
        <w:rPr>
          <w:rFonts w:ascii="Cambria" w:hAnsi="Cambria"/>
          <w:sz w:val="22"/>
          <w:szCs w:val="22"/>
        </w:rPr>
        <w:t>L’avviso è approvato con determina del dirigente</w:t>
      </w:r>
      <w:r>
        <w:rPr/>
        <w:t xml:space="preserve"> del </w:t>
      </w:r>
      <w:r>
        <w:rPr>
          <w:rFonts w:ascii="Cambria" w:hAnsi="Cambria"/>
          <w:sz w:val="22"/>
          <w:szCs w:val="22"/>
        </w:rPr>
        <w:t xml:space="preserve">Dipartimento regionale delle Infrastrutture, della Mobilità e dei Trasporti, viene pubblicato, nel sito Web della Regione siciliana - sezione                                               “La Regione Informa” e nella pagina tematica dell’Assessorato Regionale delle infrastrutture e della mobilità - Dipartimento delle infrastrutture, della mobilità e dei trasporti. </w:t>
      </w:r>
    </w:p>
    <w:p>
      <w:pPr>
        <w:pStyle w:val="Standard"/>
        <w:spacing w:lineRule="auto" w:line="228" w:before="280" w:after="0"/>
        <w:ind w:right="85" w:hanging="6"/>
        <w:jc w:val="both"/>
        <w:rPr>
          <w:rFonts w:ascii="Cambria" w:hAnsi="Cambria"/>
          <w:sz w:val="22"/>
          <w:szCs w:val="22"/>
        </w:rPr>
      </w:pPr>
      <w:r>
        <w:rPr>
          <w:rFonts w:ascii="Cambria" w:hAnsi="Cambria"/>
          <w:sz w:val="22"/>
          <w:szCs w:val="22"/>
        </w:rPr>
        <w:t xml:space="preserve">La scadenza del termine di presentazione delle domande di ammissione per ciascun avviso è fissata in giorni 30 lavorativi dalla data di pubblicazione. Al Responsabile del Servizio competente è data facoltà di differire, per motivate ragioni, la scadenza di detto termine. </w:t>
      </w:r>
    </w:p>
    <w:p>
      <w:pPr>
        <w:pStyle w:val="Standard"/>
        <w:spacing w:lineRule="auto" w:line="228" w:before="280" w:after="0"/>
        <w:ind w:right="85" w:hanging="6"/>
        <w:jc w:val="both"/>
        <w:rPr>
          <w:rFonts w:ascii="Cambria" w:hAnsi="Cambria"/>
          <w:sz w:val="22"/>
          <w:szCs w:val="22"/>
        </w:rPr>
      </w:pPr>
      <w:r>
        <w:rPr>
          <w:rFonts w:ascii="Cambria" w:hAnsi="Cambria"/>
          <w:sz w:val="22"/>
          <w:szCs w:val="22"/>
        </w:rPr>
        <w:t>Coloro che intendono sostenere l’esame per il conseguimento delle abilitazioni di insegnante e/o istruttore di autoscuola, devono indirizzare apposita domanda, entro il termine perentorio fissato nell’avviso, redatta secondo modi e schema allegato all’avviso.</w:t>
      </w:r>
    </w:p>
    <w:p>
      <w:pPr>
        <w:pStyle w:val="Standard"/>
        <w:spacing w:lineRule="auto" w:line="228" w:before="280" w:after="0"/>
        <w:ind w:right="85" w:hanging="6"/>
        <w:jc w:val="both"/>
        <w:rPr/>
      </w:pPr>
      <w:r>
        <w:rPr>
          <w:rFonts w:ascii="Cambria" w:hAnsi="Cambria"/>
          <w:sz w:val="22"/>
          <w:szCs w:val="22"/>
        </w:rPr>
        <w:t>Possono presentare domanda di cui al comma precedente i cittadini italiani o equiparati che, alla data di scadenza del bando abbiano conseguito la maggiore età ed in possesso dei requisiti di cui agli artt. 1 e 6 del decreto del Ministro delle Infrastrutture e dei Trasporti 26 gennaio 2011 n. 17</w:t>
      </w:r>
      <w:r>
        <w:rPr>
          <w:rFonts w:eastAsia="SimSun" w:cs="Cambria" w:ascii="Cambria" w:hAnsi="Cambria"/>
          <w:color w:val="231F20"/>
          <w:sz w:val="22"/>
          <w:szCs w:val="22"/>
        </w:rPr>
        <w:t xml:space="preserve"> modificato dal Decreto ministeriale 01 febbraio 2024 n. 34 ed </w:t>
      </w:r>
      <w:r>
        <w:rPr>
          <w:rFonts w:ascii="Cambria" w:hAnsi="Cambria"/>
          <w:sz w:val="22"/>
          <w:szCs w:val="22"/>
        </w:rPr>
        <w:t>abbiano frequentato presso gli enti di cui all’art. 1 del presente regolamento quanto previsto dagli articoli 2, 7 del decreto del Ministro delle Infrastrutture e dei Trasporti 26 gennaio 2011 n. 17</w:t>
      </w:r>
      <w:r>
        <w:rPr>
          <w:rFonts w:eastAsia="SimSun" w:cs="Cambria" w:ascii="Cambria" w:hAnsi="Cambria"/>
          <w:color w:val="231F20"/>
          <w:sz w:val="22"/>
          <w:szCs w:val="22"/>
        </w:rPr>
        <w:t xml:space="preserve">, modificato dal Decreto ministeriale 01 febbraio 2024 n. 34. </w:t>
      </w:r>
    </w:p>
    <w:p>
      <w:pPr>
        <w:pStyle w:val="Standard"/>
        <w:spacing w:lineRule="auto" w:line="228" w:before="280" w:after="0"/>
        <w:ind w:right="85" w:hanging="6"/>
        <w:jc w:val="center"/>
        <w:rPr/>
      </w:pPr>
      <w:r>
        <w:rPr>
          <w:rFonts w:eastAsia="SimSun" w:cs="Cambria" w:ascii="Cambria" w:hAnsi="Cambria"/>
          <w:b/>
          <w:bCs/>
          <w:color w:val="231F20"/>
          <w:sz w:val="22"/>
          <w:szCs w:val="22"/>
        </w:rPr>
        <w:t>Art. 9</w:t>
      </w:r>
    </w:p>
    <w:p>
      <w:pPr>
        <w:pStyle w:val="Standard"/>
        <w:spacing w:before="102" w:after="0"/>
        <w:ind w:right="40" w:hanging="0"/>
        <w:jc w:val="center"/>
        <w:rPr/>
      </w:pPr>
      <w:r>
        <w:rPr>
          <w:rFonts w:eastAsia="SimSun" w:cs="Cambria" w:ascii="Cambria" w:hAnsi="Cambria"/>
          <w:color w:val="231F20"/>
          <w:sz w:val="22"/>
          <w:szCs w:val="22"/>
          <w:u w:val="single"/>
        </w:rPr>
        <w:t>Commissione d'esame</w:t>
      </w:r>
    </w:p>
    <w:p>
      <w:pPr>
        <w:pStyle w:val="Standard"/>
        <w:spacing w:before="102" w:after="0"/>
        <w:ind w:right="79" w:hanging="0"/>
        <w:jc w:val="both"/>
        <w:rPr/>
      </w:pPr>
      <w:r>
        <w:rPr>
          <w:rFonts w:eastAsia="SimSun" w:cs="Cambria" w:ascii="Cambria" w:hAnsi="Cambria"/>
          <w:color w:val="231F20"/>
          <w:sz w:val="22"/>
          <w:szCs w:val="22"/>
        </w:rPr>
        <w:t>La commissione d'esame è formata da esperti nelle materie d'esame, secondo la seguente composizione:</w:t>
      </w:r>
    </w:p>
    <w:p>
      <w:pPr>
        <w:pStyle w:val="Standard"/>
        <w:numPr>
          <w:ilvl w:val="0"/>
          <w:numId w:val="6"/>
        </w:numPr>
        <w:tabs>
          <w:tab w:val="clear" w:pos="720"/>
          <w:tab w:val="left" w:pos="0" w:leader="none"/>
        </w:tabs>
        <w:spacing w:lineRule="auto" w:line="228" w:before="96" w:after="0"/>
        <w:jc w:val="both"/>
        <w:rPr/>
      </w:pPr>
      <w:r>
        <w:rPr>
          <w:rFonts w:eastAsia="SimSun" w:cs="Cambria" w:ascii="Cambria" w:hAnsi="Cambria"/>
          <w:color w:val="231F20"/>
          <w:sz w:val="22"/>
          <w:szCs w:val="22"/>
        </w:rPr>
        <w:t xml:space="preserve">un dirigente del </w:t>
      </w:r>
      <w:bookmarkStart w:id="2" w:name="_Hlk185380099"/>
      <w:r>
        <w:rPr>
          <w:rFonts w:eastAsia="SimSun" w:cs="Cambria" w:ascii="Cambria" w:hAnsi="Cambria"/>
          <w:color w:val="231F20"/>
          <w:sz w:val="22"/>
          <w:szCs w:val="22"/>
        </w:rPr>
        <w:t>Dipartimento regionale delle Infrastrutture, della Mobilità e dei Trasporti</w:t>
      </w:r>
      <w:bookmarkEnd w:id="2"/>
      <w:r>
        <w:rPr>
          <w:rFonts w:eastAsia="SimSun" w:cs="Cambria" w:ascii="Cambria" w:hAnsi="Cambria"/>
          <w:color w:val="231F20"/>
          <w:sz w:val="22"/>
          <w:szCs w:val="22"/>
        </w:rPr>
        <w:t>, che presiede la Commissione;</w:t>
      </w:r>
    </w:p>
    <w:p>
      <w:pPr>
        <w:pStyle w:val="Standard"/>
        <w:numPr>
          <w:ilvl w:val="0"/>
          <w:numId w:val="6"/>
        </w:numPr>
        <w:tabs>
          <w:tab w:val="clear" w:pos="720"/>
          <w:tab w:val="left" w:pos="0" w:leader="none"/>
        </w:tabs>
        <w:spacing w:lineRule="auto" w:line="228" w:before="96" w:after="0"/>
        <w:jc w:val="both"/>
        <w:rPr/>
      </w:pPr>
      <w:r>
        <w:rPr>
          <w:rFonts w:eastAsia="SimSun" w:cs="Cambria" w:ascii="Cambria" w:hAnsi="Cambria"/>
          <w:color w:val="231F20"/>
          <w:sz w:val="22"/>
          <w:szCs w:val="22"/>
        </w:rPr>
        <w:t>un dirigente del Dipartimento regionale delle Infrastrutture, della Mobilità e dei Trasporti, scelto a turno tra i dirigenti dei Servizi provinciali della motorizzazione civile, con funzioni di componente;</w:t>
      </w:r>
    </w:p>
    <w:p>
      <w:pPr>
        <w:pStyle w:val="Standard"/>
        <w:numPr>
          <w:ilvl w:val="0"/>
          <w:numId w:val="6"/>
        </w:numPr>
        <w:tabs>
          <w:tab w:val="clear" w:pos="720"/>
          <w:tab w:val="left" w:pos="0" w:leader="none"/>
        </w:tabs>
        <w:spacing w:before="91" w:after="0"/>
        <w:jc w:val="both"/>
        <w:rPr/>
      </w:pPr>
      <w:r>
        <w:rPr>
          <w:rFonts w:eastAsia="SimSun" w:cs="Cambria" w:ascii="Cambria" w:hAnsi="Cambria"/>
          <w:color w:val="231F20"/>
          <w:sz w:val="22"/>
          <w:szCs w:val="22"/>
        </w:rPr>
        <w:t>due dirigenti regionali o funzionari direttivi del Dipartimento regionale delle Infrastrutture, della Mobilità e dei Trasporti con funzioni di componenti;</w:t>
      </w:r>
    </w:p>
    <w:p>
      <w:pPr>
        <w:pStyle w:val="Standard"/>
        <w:numPr>
          <w:ilvl w:val="0"/>
          <w:numId w:val="6"/>
        </w:numPr>
        <w:tabs>
          <w:tab w:val="clear" w:pos="720"/>
          <w:tab w:val="left" w:pos="0" w:leader="none"/>
        </w:tabs>
        <w:spacing w:lineRule="auto" w:line="228" w:before="125" w:after="0"/>
        <w:jc w:val="both"/>
        <w:rPr/>
      </w:pPr>
      <w:r>
        <w:rPr>
          <w:rFonts w:eastAsia="SimSun" w:cs="Cambria" w:ascii="Cambria" w:hAnsi="Cambria"/>
          <w:color w:val="231F20"/>
          <w:sz w:val="22"/>
          <w:szCs w:val="22"/>
        </w:rPr>
        <w:t>un funzionario direttivo o istruttore direttivo Dipartimento regionale delle Infrastrutture, della Mobilità e dei Trasporti, con funzione di segretario, incaricato dell'istruzione delle pratiche.</w:t>
      </w:r>
    </w:p>
    <w:p>
      <w:pPr>
        <w:pStyle w:val="Standard"/>
        <w:tabs>
          <w:tab w:val="left" w:pos="720" w:leader="none"/>
        </w:tabs>
        <w:spacing w:lineRule="auto" w:line="216" w:before="125" w:after="0"/>
        <w:ind w:right="136" w:hanging="0"/>
        <w:jc w:val="both"/>
        <w:rPr>
          <w:rFonts w:ascii="Cambria" w:hAnsi="Cambria" w:eastAsia="SimSun" w:cs="Cambria"/>
          <w:color w:val="231F20"/>
          <w:sz w:val="22"/>
          <w:szCs w:val="22"/>
        </w:rPr>
      </w:pPr>
      <w:r>
        <w:rPr>
          <w:rFonts w:eastAsia="SimSun" w:cs="Cambria" w:ascii="Cambria" w:hAnsi="Cambria"/>
          <w:color w:val="231F20"/>
          <w:sz w:val="22"/>
          <w:szCs w:val="22"/>
        </w:rPr>
        <w:t xml:space="preserve">Il soggetto di cui alla lettera a) può essere individuato anche tra i dirigenti regionali in quiescenza, già in servizio presso il Dipartimento. </w:t>
      </w:r>
    </w:p>
    <w:p>
      <w:pPr>
        <w:pStyle w:val="Standard"/>
        <w:tabs>
          <w:tab w:val="left" w:pos="720" w:leader="none"/>
        </w:tabs>
        <w:spacing w:lineRule="auto" w:line="216" w:before="125" w:after="0"/>
        <w:ind w:right="136" w:hanging="0"/>
        <w:jc w:val="both"/>
        <w:rPr/>
      </w:pPr>
      <w:r>
        <w:rPr>
          <w:rFonts w:eastAsia="SimSun" w:cs="Cambria" w:ascii="Cambria" w:hAnsi="Cambria"/>
          <w:color w:val="231F20"/>
          <w:sz w:val="22"/>
          <w:szCs w:val="22"/>
        </w:rPr>
        <w:t>I componenti sono nominati con decreto del Dirigente Generale e durano in carica tre anni.</w:t>
      </w:r>
    </w:p>
    <w:p>
      <w:pPr>
        <w:pStyle w:val="Standard"/>
        <w:spacing w:lineRule="auto" w:line="228" w:before="125" w:after="0"/>
        <w:ind w:right="136" w:hanging="0"/>
        <w:jc w:val="both"/>
        <w:rPr>
          <w:rFonts w:ascii="Cambria" w:hAnsi="Cambria" w:eastAsia="SimSun" w:cs="Cambria"/>
          <w:color w:val="231F20"/>
          <w:sz w:val="22"/>
          <w:szCs w:val="22"/>
        </w:rPr>
      </w:pPr>
      <w:r>
        <w:rPr>
          <w:rFonts w:eastAsia="SimSun" w:cs="Cambria" w:ascii="Cambria" w:hAnsi="Cambria"/>
          <w:color w:val="231F20"/>
          <w:sz w:val="22"/>
          <w:szCs w:val="22"/>
        </w:rPr>
        <w:t>Per ogni componente effettivo, compreso il segretario, è nominato un componente supplente, il quale partecipa alle sedute d'esame solo in caso di assenza o di impedimento del titolare.</w:t>
      </w:r>
    </w:p>
    <w:p>
      <w:pPr>
        <w:pStyle w:val="Standard"/>
        <w:spacing w:lineRule="auto" w:line="228" w:before="125" w:after="0"/>
        <w:ind w:right="136" w:hanging="0"/>
        <w:jc w:val="both"/>
        <w:rPr/>
      </w:pPr>
      <w:r>
        <w:rPr>
          <w:rFonts w:eastAsia="SimSun" w:cs="Cambria" w:ascii="Cambria" w:hAnsi="Cambria"/>
          <w:color w:val="231F20"/>
          <w:sz w:val="22"/>
          <w:szCs w:val="22"/>
        </w:rPr>
        <w:t xml:space="preserve">Qualora tra i componenti della Commissione d'esame non sia presente un soggetto in possesso di tutte le patenti di guida per l'effettuazione delle prove di esami di idoneità per l'abilitazione di istruttore di guida, di cui al comma 2, lett. a), b) e c) dell'art. 9 del decreto del Ministero delle Infrastrutture e dei Trasporti 26 gennaio 2011, n.17 modificato dal Decreto Ministeriale 01 febbraio 2024 n. 34, </w:t>
      </w:r>
      <w:r>
        <w:rPr>
          <w:rFonts w:eastAsia="Cambria" w:cs="Cambria" w:ascii="Cambria" w:hAnsi="Cambria"/>
          <w:color w:val="231F20"/>
          <w:sz w:val="22"/>
          <w:szCs w:val="22"/>
        </w:rPr>
        <w:t xml:space="preserve"> </w:t>
      </w:r>
      <w:r>
        <w:rPr>
          <w:rFonts w:eastAsia="SimSun" w:cs="Cambria" w:ascii="Cambria" w:hAnsi="Cambria"/>
          <w:color w:val="231F20"/>
          <w:sz w:val="22"/>
          <w:szCs w:val="22"/>
        </w:rPr>
        <w:t>La Commissione stessa sarà integrata da un istruttore di guida scelto, di volta in volta, dal Presidente della Commissione, tra quelli contenuti in un elenco di nomi comunicati dalle Associazioni di Categoria del settore trasporti ed approvato con provvedimento del Dirigente Generale del Dipartimento Infrastrutture, Mobilità e Trasporti.</w:t>
      </w:r>
    </w:p>
    <w:p>
      <w:pPr>
        <w:pStyle w:val="Standard"/>
        <w:spacing w:lineRule="auto" w:line="228" w:before="280" w:after="0"/>
        <w:ind w:right="136" w:hanging="0"/>
        <w:jc w:val="both"/>
        <w:rPr>
          <w:rFonts w:ascii="Cambria" w:hAnsi="Cambria" w:eastAsia="SimSun" w:cs="Cambria"/>
          <w:color w:val="231F20"/>
          <w:sz w:val="22"/>
          <w:szCs w:val="22"/>
        </w:rPr>
      </w:pPr>
      <w:r>
        <w:rPr>
          <w:rFonts w:eastAsia="SimSun" w:cs="Cambria" w:ascii="Cambria" w:hAnsi="Cambria"/>
          <w:color w:val="231F20"/>
          <w:sz w:val="22"/>
          <w:szCs w:val="22"/>
        </w:rPr>
        <w:t>La Commissione è validamente costituita con la presenza di tutti i suoi componenti e si riunisce in seduta, su convocazione del suo Presidente.</w:t>
      </w:r>
    </w:p>
    <w:p>
      <w:pPr>
        <w:pStyle w:val="Standard"/>
        <w:spacing w:lineRule="auto" w:line="228" w:before="280" w:after="0"/>
        <w:ind w:right="136" w:hanging="0"/>
        <w:jc w:val="both"/>
        <w:rPr>
          <w:rFonts w:ascii="Cambria" w:hAnsi="Cambria"/>
          <w:sz w:val="22"/>
          <w:szCs w:val="22"/>
        </w:rPr>
      </w:pPr>
      <w:r>
        <w:rPr>
          <w:rFonts w:ascii="Cambria" w:hAnsi="Cambria"/>
          <w:sz w:val="22"/>
          <w:szCs w:val="22"/>
        </w:rPr>
        <w:t>Il Presidente della Commissione esaminatrice fornisce direttive al segretario della Commissione affinché la verbalizzazione dei lavori della Commissione permetta la ricostruzione, a posteriori, dell’attività e della formazione delle decisioni della Commissione stessa.</w:t>
      </w:r>
    </w:p>
    <w:p>
      <w:pPr>
        <w:pStyle w:val="Standard"/>
        <w:spacing w:lineRule="auto" w:line="228" w:before="280" w:after="0"/>
        <w:ind w:right="136" w:hanging="0"/>
        <w:jc w:val="both"/>
        <w:rPr>
          <w:rFonts w:ascii="Cambria" w:hAnsi="Cambria"/>
          <w:sz w:val="22"/>
          <w:szCs w:val="22"/>
        </w:rPr>
      </w:pPr>
      <w:r>
        <w:rPr>
          <w:rFonts w:ascii="Cambria" w:hAnsi="Cambria"/>
          <w:sz w:val="22"/>
          <w:szCs w:val="22"/>
        </w:rPr>
        <w:t xml:space="preserve">Di tutte le operazioni di esame e delle deliberazioni prese dalla Commissione esaminatrice, si redige apposito verbale sottoscritto da tutti i commissari e dal segretario. </w:t>
      </w:r>
    </w:p>
    <w:p>
      <w:pPr>
        <w:pStyle w:val="Standard"/>
        <w:spacing w:lineRule="auto" w:line="228" w:before="280" w:after="0"/>
        <w:ind w:right="136" w:hanging="0"/>
        <w:jc w:val="both"/>
        <w:rPr>
          <w:rFonts w:ascii="Cambria" w:hAnsi="Cambria" w:eastAsia="SimSun" w:cs="Cambria"/>
          <w:color w:val="231F20"/>
          <w:sz w:val="22"/>
          <w:szCs w:val="22"/>
        </w:rPr>
      </w:pPr>
      <w:r>
        <w:rPr>
          <w:rFonts w:eastAsia="SimSun" w:cs="Cambria" w:ascii="Cambria" w:hAnsi="Cambria"/>
          <w:color w:val="231F20"/>
          <w:sz w:val="22"/>
          <w:szCs w:val="22"/>
        </w:rPr>
        <w:t>I componenti non devono rivestire incarichi di rappresentanza di carattere politico o sindacale in seno ad associazioni professionali di categoria del settore trasporti.</w:t>
      </w:r>
    </w:p>
    <w:p>
      <w:pPr>
        <w:pStyle w:val="Standard"/>
        <w:spacing w:lineRule="auto" w:line="228" w:before="280" w:after="0"/>
        <w:ind w:right="136" w:hanging="0"/>
        <w:jc w:val="both"/>
        <w:rPr>
          <w:rFonts w:ascii="Cambria" w:hAnsi="Cambria" w:eastAsia="SimSun" w:cs="Cambria"/>
          <w:color w:val="231F20"/>
          <w:sz w:val="22"/>
          <w:szCs w:val="22"/>
        </w:rPr>
      </w:pPr>
      <w:r>
        <w:rPr>
          <w:rFonts w:eastAsia="SimSun" w:cs="Cambria" w:ascii="Cambria" w:hAnsi="Cambria"/>
          <w:color w:val="231F20"/>
          <w:sz w:val="22"/>
          <w:szCs w:val="22"/>
        </w:rPr>
        <w:t xml:space="preserve">In apertura di ogni sessione d'esame, i componenti della Commissione, nel prendere atto dell'elenco dei candidati ammessi, dichiarano contestualmente l'esistenza o meno di incompatibilità con gli stessi, ai sensi degli art. 51e 52 del Codice di Procedura Civile. </w:t>
      </w:r>
    </w:p>
    <w:p>
      <w:pPr>
        <w:pStyle w:val="Standard"/>
        <w:spacing w:lineRule="auto" w:line="228" w:before="280" w:after="0"/>
        <w:ind w:right="136" w:hanging="0"/>
        <w:jc w:val="both"/>
        <w:rPr>
          <w:rFonts w:ascii="Cambria" w:hAnsi="Cambria"/>
          <w:sz w:val="22"/>
          <w:szCs w:val="22"/>
        </w:rPr>
      </w:pPr>
      <w:r>
        <w:rPr>
          <w:rFonts w:ascii="Cambria" w:hAnsi="Cambria"/>
          <w:sz w:val="22"/>
          <w:szCs w:val="22"/>
        </w:rPr>
        <w:t>Nel rispetto della normativa vigente, per quanto non previsto dal presente regolamento, la Commissione può determinare criteri e modalità organizzativa con propria decisione, assunta a seguito di votazione favorevole della maggioranza dei componenti, in caso di parità di voto è decisivo quello del presidente.</w:t>
      </w:r>
    </w:p>
    <w:p>
      <w:pPr>
        <w:pStyle w:val="Standard"/>
        <w:spacing w:lineRule="auto" w:line="216" w:before="280" w:after="0"/>
        <w:ind w:right="125" w:hanging="0"/>
        <w:jc w:val="both"/>
        <w:rPr/>
      </w:pPr>
      <w:r>
        <w:rPr>
          <w:rFonts w:eastAsia="SimSun" w:cs="Cambria" w:ascii="Cambria" w:hAnsi="Cambria"/>
          <w:color w:val="231F20"/>
          <w:sz w:val="22"/>
          <w:szCs w:val="22"/>
        </w:rPr>
        <w:t>La Commissione si avvale della collaborazione della Segreteria, che verrà istituita presso l'Area 5- Coordinamento Uffici della Motorizzazione Civile, con provvedimento del Dirigente Generale del Dipartimento Regionale delle Infrastrutture, della Mobilità e dei Trasporti.</w:t>
      </w:r>
    </w:p>
    <w:p>
      <w:pPr>
        <w:pStyle w:val="Standard"/>
        <w:spacing w:before="91" w:after="0"/>
        <w:ind w:left="527" w:hanging="363"/>
        <w:jc w:val="both"/>
        <w:rPr>
          <w:rFonts w:ascii="Cambria" w:hAnsi="Cambria" w:eastAsia="SimSun" w:cs="Cambria"/>
          <w:color w:val="231F20"/>
          <w:sz w:val="22"/>
          <w:szCs w:val="22"/>
        </w:rPr>
      </w:pPr>
      <w:r>
        <w:rPr>
          <w:rFonts w:eastAsia="SimSun" w:cs="Cambria" w:ascii="Cambria" w:hAnsi="Cambria"/>
          <w:color w:val="231F20"/>
          <w:sz w:val="22"/>
          <w:szCs w:val="22"/>
        </w:rPr>
      </w:r>
    </w:p>
    <w:p>
      <w:pPr>
        <w:pStyle w:val="Standard"/>
        <w:spacing w:before="91" w:after="0"/>
        <w:ind w:left="527" w:hanging="363"/>
        <w:jc w:val="center"/>
        <w:rPr/>
      </w:pPr>
      <w:r>
        <w:rPr>
          <w:rFonts w:eastAsia="SimSun" w:cs="Cambria" w:ascii="Cambria" w:hAnsi="Cambria"/>
          <w:b/>
          <w:bCs/>
          <w:color w:val="231F20"/>
          <w:sz w:val="22"/>
          <w:szCs w:val="22"/>
        </w:rPr>
        <w:t>Art. 10</w:t>
      </w:r>
    </w:p>
    <w:p>
      <w:pPr>
        <w:pStyle w:val="Standard"/>
        <w:spacing w:before="108" w:after="0"/>
        <w:ind w:left="527" w:right="74" w:hanging="0"/>
        <w:jc w:val="center"/>
        <w:rPr/>
      </w:pPr>
      <w:r>
        <w:rPr>
          <w:rFonts w:eastAsia="SimSun" w:cs="Cambria" w:ascii="Cambria" w:hAnsi="Cambria"/>
          <w:color w:val="231F20"/>
          <w:sz w:val="22"/>
          <w:szCs w:val="22"/>
          <w:u w:val="single"/>
        </w:rPr>
        <w:t>Attestazione comprovante la conseguita abilitazione</w:t>
      </w:r>
    </w:p>
    <w:p>
      <w:pPr>
        <w:pStyle w:val="Standard"/>
        <w:widowControl/>
        <w:suppressAutoHyphens w:val="true"/>
        <w:bidi w:val="0"/>
        <w:spacing w:lineRule="auto" w:line="228" w:before="119" w:after="0"/>
        <w:ind w:left="0" w:right="113" w:hanging="0"/>
        <w:jc w:val="both"/>
        <w:textAlignment w:val="baseline"/>
        <w:rPr/>
      </w:pPr>
      <w:r>
        <w:rPr>
          <w:rFonts w:eastAsia="SimSun" w:cs="Cambria" w:ascii="Cambria" w:hAnsi="Cambria"/>
          <w:color w:val="231F20"/>
          <w:sz w:val="22"/>
          <w:szCs w:val="22"/>
        </w:rPr>
        <w:t xml:space="preserve">A seguito dell'esito positivo dell'esame è rilasciato </w:t>
      </w:r>
      <w:bookmarkStart w:id="3" w:name="_Hlk185379543"/>
      <w:r>
        <w:rPr>
          <w:rFonts w:eastAsia="SimSun" w:cs="Cambria" w:ascii="Cambria" w:hAnsi="Cambria"/>
          <w:color w:val="231F20"/>
          <w:sz w:val="22"/>
          <w:szCs w:val="22"/>
        </w:rPr>
        <w:t xml:space="preserve">dal Dirigente Generale del Dipartimento Infrastrutture, Mobilità e Trasporti </w:t>
      </w:r>
      <w:bookmarkEnd w:id="3"/>
      <w:r>
        <w:rPr>
          <w:rFonts w:eastAsia="SimSun" w:cs="Cambria" w:ascii="Cambria" w:hAnsi="Cambria"/>
          <w:color w:val="231F20"/>
          <w:sz w:val="22"/>
          <w:szCs w:val="22"/>
        </w:rPr>
        <w:t>un attestato di conseguita abilitazione.</w:t>
      </w:r>
    </w:p>
    <w:p>
      <w:pPr>
        <w:pStyle w:val="Standard"/>
        <w:widowControl/>
        <w:suppressAutoHyphens w:val="true"/>
        <w:bidi w:val="0"/>
        <w:spacing w:lineRule="auto" w:line="228" w:before="119" w:after="0"/>
        <w:ind w:left="0" w:right="113" w:hanging="0"/>
        <w:jc w:val="both"/>
        <w:textAlignment w:val="baseline"/>
        <w:rPr/>
      </w:pPr>
      <w:r>
        <w:rPr>
          <w:rFonts w:ascii="Cambria" w:hAnsi="Cambria"/>
          <w:sz w:val="22"/>
          <w:szCs w:val="22"/>
        </w:rPr>
        <w:t xml:space="preserve">L’istruttore di guida può conseguire l’abilitazione di cui all’art. 5 del </w:t>
      </w:r>
      <w:r>
        <w:rPr>
          <w:rFonts w:eastAsia="SimSun" w:cs="Cambria" w:ascii="Cambria" w:hAnsi="Cambria"/>
          <w:color w:val="231F20"/>
          <w:sz w:val="22"/>
          <w:szCs w:val="22"/>
        </w:rPr>
        <w:t>decreto del Ministero delle Infrastrutture e dei Trasporti 26 gennaio 2011, n.17 modificato dal Decreto Ministeriale 01 febbraio 2024 n. 34.</w:t>
      </w:r>
    </w:p>
    <w:p>
      <w:pPr>
        <w:pStyle w:val="Standard"/>
        <w:widowControl/>
        <w:suppressAutoHyphens w:val="true"/>
        <w:bidi w:val="0"/>
        <w:spacing w:lineRule="auto" w:line="228" w:before="119" w:after="0"/>
        <w:ind w:left="0" w:right="113" w:hanging="0"/>
        <w:jc w:val="both"/>
        <w:textAlignment w:val="baseline"/>
        <w:rPr/>
      </w:pPr>
      <w:r>
        <w:rPr>
          <w:rFonts w:ascii="Cambria" w:hAnsi="Cambria"/>
          <w:sz w:val="22"/>
          <w:szCs w:val="22"/>
        </w:rPr>
        <w:t xml:space="preserve">Qualora in sede di controllo delle auto dichiarazioni presentate emerga che il candidato ha partecipato all’esame in difetto dei requisiti previsti dal presente regolamento, il </w:t>
      </w:r>
      <w:r>
        <w:rPr>
          <w:rFonts w:eastAsia="SimSun" w:cs="Cambria" w:ascii="Cambria" w:hAnsi="Cambria"/>
          <w:color w:val="231F20"/>
          <w:sz w:val="22"/>
          <w:szCs w:val="22"/>
        </w:rPr>
        <w:t xml:space="preserve">Dirigente Generale del Dipartimento Infrastrutture, Mobilità e Trasporti </w:t>
      </w:r>
      <w:r>
        <w:rPr>
          <w:rFonts w:ascii="Cambria" w:hAnsi="Cambria"/>
          <w:sz w:val="22"/>
          <w:szCs w:val="22"/>
        </w:rPr>
        <w:t xml:space="preserve">procede con proprio provvedimento alla revoca dell’attestato di cui al comma 1, mediante stralcio del relativo nominativo dall’elenco definitivo degli idonei. E’ fatto, conseguentemente, obbligo al candidato di restituire l’attestato illegittimamente conseguito entro 15 giorni dalla data di esecutività della suddetta determinazione. </w:t>
      </w:r>
    </w:p>
    <w:p>
      <w:pPr>
        <w:pStyle w:val="Standard"/>
        <w:widowControl/>
        <w:suppressAutoHyphens w:val="true"/>
        <w:bidi w:val="0"/>
        <w:spacing w:lineRule="auto" w:line="228" w:before="119" w:after="0"/>
        <w:ind w:left="0" w:right="113" w:hanging="0"/>
        <w:jc w:val="both"/>
        <w:textAlignment w:val="baseline"/>
        <w:rPr/>
      </w:pPr>
      <w:r>
        <w:rPr>
          <w:rFonts w:ascii="Cambria" w:hAnsi="Cambria"/>
          <w:sz w:val="22"/>
          <w:szCs w:val="22"/>
        </w:rPr>
        <w:t>Il conseguimento dell’attestato di abilitazione alla professione comporta l’iscrizione d’ufficio degli abilitati all’elenco regionale degli insegnanti di teoria e istruttori di guida di autoscuola.</w:t>
      </w:r>
    </w:p>
    <w:p>
      <w:pPr>
        <w:pStyle w:val="Standard"/>
        <w:spacing w:before="91" w:after="0"/>
        <w:jc w:val="center"/>
        <w:rPr>
          <w:rFonts w:ascii="Cambria" w:hAnsi="Cambria" w:eastAsia="SimSun" w:cs="Cambria"/>
          <w:b/>
          <w:b/>
          <w:bCs/>
          <w:color w:val="231F20"/>
          <w:sz w:val="22"/>
          <w:szCs w:val="22"/>
        </w:rPr>
      </w:pPr>
      <w:r>
        <w:rPr>
          <w:rFonts w:eastAsia="SimSun" w:cs="Cambria" w:ascii="Cambria" w:hAnsi="Cambria"/>
          <w:b/>
          <w:bCs/>
          <w:color w:val="231F20"/>
          <w:sz w:val="22"/>
          <w:szCs w:val="22"/>
        </w:rPr>
      </w:r>
    </w:p>
    <w:p>
      <w:pPr>
        <w:pStyle w:val="Standard"/>
        <w:spacing w:before="91" w:after="0"/>
        <w:jc w:val="center"/>
        <w:rPr/>
      </w:pPr>
      <w:r>
        <w:rPr>
          <w:rFonts w:eastAsia="SimSun" w:cs="Cambria" w:ascii="Cambria" w:hAnsi="Cambria"/>
          <w:b/>
          <w:bCs/>
          <w:color w:val="231F20"/>
          <w:sz w:val="22"/>
          <w:szCs w:val="22"/>
        </w:rPr>
        <w:t xml:space="preserve">Art. 11 </w:t>
      </w:r>
    </w:p>
    <w:p>
      <w:pPr>
        <w:pStyle w:val="Standard"/>
        <w:rPr>
          <w:rFonts w:ascii="Cambria" w:hAnsi="Cambria" w:eastAsia="SimSun" w:cs="Cambria"/>
          <w:color w:val="231F20"/>
          <w:sz w:val="22"/>
          <w:szCs w:val="22"/>
        </w:rPr>
      </w:pPr>
      <w:r>
        <w:rPr>
          <w:rFonts w:eastAsia="SimSun" w:cs="Cambria" w:ascii="Cambria" w:hAnsi="Cambria"/>
          <w:color w:val="231F20"/>
          <w:sz w:val="22"/>
          <w:szCs w:val="22"/>
        </w:rPr>
      </w:r>
    </w:p>
    <w:p>
      <w:pPr>
        <w:pStyle w:val="Standard"/>
        <w:spacing w:before="91" w:after="0"/>
        <w:jc w:val="center"/>
        <w:rPr/>
      </w:pPr>
      <w:r>
        <w:rPr>
          <w:rFonts w:eastAsia="SimSun" w:cs="Cambria" w:ascii="Cambria" w:hAnsi="Cambria"/>
          <w:color w:val="231F20"/>
          <w:sz w:val="22"/>
          <w:szCs w:val="22"/>
          <w:u w:val="single"/>
        </w:rPr>
        <w:t>conversione dell'abilitazione di istruttore di guida da militare a civile</w:t>
      </w:r>
    </w:p>
    <w:p>
      <w:pPr>
        <w:pStyle w:val="Standard"/>
        <w:spacing w:before="91" w:after="0"/>
        <w:jc w:val="center"/>
        <w:rPr>
          <w:rFonts w:ascii="Cambria" w:hAnsi="Cambria" w:eastAsia="SimSun" w:cs="Cambria"/>
          <w:b/>
          <w:b/>
          <w:bCs/>
          <w:color w:val="231F20"/>
          <w:sz w:val="22"/>
          <w:szCs w:val="22"/>
        </w:rPr>
      </w:pPr>
      <w:r>
        <w:rPr>
          <w:rFonts w:eastAsia="SimSun" w:cs="Cambria" w:ascii="Cambria" w:hAnsi="Cambria"/>
          <w:b/>
          <w:bCs/>
          <w:color w:val="231F20"/>
          <w:sz w:val="22"/>
          <w:szCs w:val="22"/>
        </w:rPr>
      </w:r>
    </w:p>
    <w:p>
      <w:pPr>
        <w:pStyle w:val="Standard"/>
        <w:spacing w:before="91" w:after="0"/>
        <w:jc w:val="both"/>
        <w:rPr>
          <w:rFonts w:ascii="Cambria" w:hAnsi="Cambria" w:eastAsia="SimSun" w:cs="Cambria"/>
          <w:bCs/>
          <w:color w:val="231F20"/>
          <w:sz w:val="22"/>
          <w:szCs w:val="22"/>
        </w:rPr>
      </w:pPr>
      <w:r>
        <w:rPr>
          <w:rFonts w:eastAsia="SimSun" w:cs="Cambria" w:ascii="Cambria" w:hAnsi="Cambria"/>
          <w:bCs/>
          <w:color w:val="231F20"/>
          <w:sz w:val="22"/>
          <w:szCs w:val="22"/>
        </w:rPr>
        <w:t>Coloro che hanno ottenuto il certificato di abilitazione di istruttore di guida militare durante il servizio prestato presso le Forze Armate, ai sensi del comma 6 dell'articolo 138 del decreto legislativo n . 285/1992, possono ottenere la conversione dello stesso con analogo attestato di abilitazione di istruttore di guida civile senza esame, purché ne facciano richiesta al dal Dirigente Generale del Dipartimento Infrastrutture, Mobilità e Trasporti entro un anno dal congedo o dalla cessazione dal servizio.</w:t>
      </w:r>
    </w:p>
    <w:p>
      <w:pPr>
        <w:pStyle w:val="Standard"/>
        <w:spacing w:before="91" w:after="0"/>
        <w:jc w:val="both"/>
        <w:rPr>
          <w:rFonts w:ascii="Cambria" w:hAnsi="Cambria" w:eastAsia="SimSun" w:cs="Cambria"/>
          <w:bCs/>
          <w:color w:val="231F20"/>
          <w:sz w:val="22"/>
          <w:szCs w:val="22"/>
        </w:rPr>
      </w:pPr>
      <w:r>
        <w:rPr>
          <w:rFonts w:eastAsia="SimSun" w:cs="Cambria" w:ascii="Cambria" w:hAnsi="Cambria"/>
          <w:bCs/>
          <w:color w:val="231F20"/>
          <w:sz w:val="22"/>
          <w:szCs w:val="22"/>
        </w:rPr>
        <w:t>Nel caso in cui il titolare di abilitazione di guida militare non abbia ancora compiuto il ventunesimo anno di età, l'attestato verrà rilasciato al compimento di detta età.</w:t>
      </w:r>
    </w:p>
    <w:p>
      <w:pPr>
        <w:pStyle w:val="Standard"/>
        <w:spacing w:before="91" w:after="0"/>
        <w:jc w:val="center"/>
        <w:rPr>
          <w:rFonts w:ascii="Cambria" w:hAnsi="Cambria" w:eastAsia="SimSun" w:cs="Cambria"/>
          <w:b/>
          <w:b/>
          <w:bCs/>
          <w:color w:val="231F20"/>
          <w:sz w:val="22"/>
          <w:szCs w:val="22"/>
        </w:rPr>
      </w:pPr>
      <w:r>
        <w:rPr>
          <w:rFonts w:eastAsia="SimSun" w:cs="Cambria" w:ascii="Cambria" w:hAnsi="Cambria"/>
          <w:b/>
          <w:bCs/>
          <w:color w:val="231F20"/>
          <w:sz w:val="22"/>
          <w:szCs w:val="22"/>
        </w:rPr>
      </w:r>
    </w:p>
    <w:p>
      <w:pPr>
        <w:pStyle w:val="Standard"/>
        <w:spacing w:before="91" w:after="0"/>
        <w:jc w:val="center"/>
        <w:rPr/>
      </w:pPr>
      <w:r>
        <w:rPr>
          <w:rFonts w:eastAsia="SimSun" w:cs="Cambria" w:ascii="Cambria" w:hAnsi="Cambria"/>
          <w:b/>
          <w:bCs/>
          <w:color w:val="231F20"/>
          <w:sz w:val="22"/>
          <w:szCs w:val="22"/>
        </w:rPr>
        <w:t xml:space="preserve">Art. 12 </w:t>
      </w:r>
    </w:p>
    <w:p>
      <w:pPr>
        <w:pStyle w:val="Standard"/>
        <w:rPr>
          <w:rFonts w:ascii="Cambria" w:hAnsi="Cambria" w:eastAsia="SimSun" w:cs="Cambria"/>
          <w:color w:val="231F20"/>
          <w:sz w:val="22"/>
          <w:szCs w:val="22"/>
        </w:rPr>
      </w:pPr>
      <w:r>
        <w:rPr>
          <w:rFonts w:eastAsia="SimSun" w:cs="Cambria" w:ascii="Cambria" w:hAnsi="Cambria"/>
          <w:color w:val="231F20"/>
          <w:sz w:val="22"/>
          <w:szCs w:val="22"/>
        </w:rPr>
      </w:r>
    </w:p>
    <w:p>
      <w:pPr>
        <w:pStyle w:val="Standard"/>
        <w:jc w:val="center"/>
        <w:rPr>
          <w:rFonts w:ascii="Cambria" w:hAnsi="Cambria" w:eastAsia="SimSun" w:cs="Cambria"/>
          <w:color w:val="231F20"/>
          <w:sz w:val="22"/>
          <w:szCs w:val="22"/>
          <w:u w:val="single"/>
        </w:rPr>
      </w:pPr>
      <w:r>
        <w:rPr>
          <w:rFonts w:eastAsia="SimSun" w:cs="Cambria" w:ascii="Cambria" w:hAnsi="Cambria"/>
          <w:color w:val="231F20"/>
          <w:sz w:val="22"/>
          <w:szCs w:val="22"/>
          <w:u w:val="single"/>
        </w:rPr>
        <w:t>trasparenza amministrativa e accesso agli atti</w:t>
      </w:r>
    </w:p>
    <w:p>
      <w:pPr>
        <w:pStyle w:val="Standard"/>
        <w:jc w:val="center"/>
        <w:rPr>
          <w:rFonts w:ascii="Cambria" w:hAnsi="Cambria" w:eastAsia="SimSun" w:cs="Cambria"/>
          <w:color w:val="231F20"/>
          <w:sz w:val="22"/>
          <w:szCs w:val="22"/>
          <w:u w:val="single"/>
        </w:rPr>
      </w:pPr>
      <w:r>
        <w:rPr>
          <w:rFonts w:eastAsia="SimSun" w:cs="Cambria" w:ascii="Cambria" w:hAnsi="Cambria"/>
          <w:color w:val="231F20"/>
          <w:sz w:val="22"/>
          <w:szCs w:val="22"/>
          <w:u w:val="single"/>
        </w:rPr>
      </w:r>
    </w:p>
    <w:p>
      <w:pPr>
        <w:pStyle w:val="Standard"/>
        <w:jc w:val="both"/>
        <w:rPr>
          <w:rFonts w:ascii="Cambria" w:hAnsi="Cambria" w:eastAsia="SimSun" w:cs="Cambria"/>
          <w:color w:val="231F20"/>
          <w:sz w:val="22"/>
          <w:szCs w:val="22"/>
        </w:rPr>
      </w:pPr>
      <w:r>
        <w:rPr>
          <w:rFonts w:eastAsia="SimSun" w:cs="Cambria" w:ascii="Cambria" w:hAnsi="Cambria"/>
          <w:color w:val="231F20"/>
          <w:sz w:val="22"/>
          <w:szCs w:val="22"/>
        </w:rPr>
        <w:t>I candidati hanno facoltà di esercitare il diritto di accesso agli atti del procedimento ai sensi della legge 7 agosto 1990, n. 241 e successive modifiche ed integrazioni, con le modalità ivi previste e nel rispetto della normativa vigente in tema di tutela della riservatezza.</w:t>
      </w:r>
    </w:p>
    <w:p>
      <w:pPr>
        <w:pStyle w:val="Standard"/>
        <w:jc w:val="both"/>
        <w:rPr>
          <w:rFonts w:ascii="Cambria" w:hAnsi="Cambria" w:eastAsia="SimSun" w:cs="Cambria"/>
          <w:color w:val="231F20"/>
          <w:sz w:val="22"/>
          <w:szCs w:val="22"/>
        </w:rPr>
      </w:pPr>
      <w:r>
        <w:rPr>
          <w:rFonts w:eastAsia="SimSun" w:cs="Cambria" w:ascii="Cambria" w:hAnsi="Cambria"/>
          <w:color w:val="231F20"/>
          <w:sz w:val="22"/>
          <w:szCs w:val="22"/>
        </w:rPr>
        <w:t xml:space="preserve">Durante lo svolgimento della procedura, l’accesso è differito al termine del procedimento, salvo che il differimento non costituisca pregiudizio per la tutela di posizioni giuridicamente rilevanti. </w:t>
      </w:r>
    </w:p>
    <w:p>
      <w:pPr>
        <w:pStyle w:val="Standard"/>
        <w:rPr>
          <w:rFonts w:ascii="Cambria" w:hAnsi="Cambria" w:eastAsia="SimSun" w:cs="Cambria"/>
          <w:color w:val="231F20"/>
          <w:sz w:val="22"/>
          <w:szCs w:val="22"/>
        </w:rPr>
      </w:pPr>
      <w:r>
        <w:rPr>
          <w:rFonts w:eastAsia="SimSun" w:cs="Cambria" w:ascii="Cambria" w:hAnsi="Cambria"/>
          <w:color w:val="231F20"/>
          <w:sz w:val="22"/>
          <w:szCs w:val="22"/>
        </w:rPr>
      </w:r>
    </w:p>
    <w:p>
      <w:pPr>
        <w:pStyle w:val="Standard"/>
        <w:spacing w:before="91" w:after="0"/>
        <w:jc w:val="center"/>
        <w:rPr>
          <w:rFonts w:ascii="Cambria" w:hAnsi="Cambria" w:eastAsia="SimSun" w:cs="Cambria"/>
          <w:b/>
          <w:b/>
          <w:bCs/>
          <w:color w:val="231F20"/>
          <w:sz w:val="22"/>
          <w:szCs w:val="22"/>
        </w:rPr>
      </w:pPr>
      <w:r>
        <w:rPr>
          <w:rFonts w:eastAsia="SimSun" w:cs="Cambria" w:ascii="Cambria" w:hAnsi="Cambria"/>
          <w:b/>
          <w:bCs/>
          <w:color w:val="231F20"/>
          <w:sz w:val="22"/>
          <w:szCs w:val="22"/>
        </w:rPr>
      </w:r>
    </w:p>
    <w:p>
      <w:pPr>
        <w:pStyle w:val="Standard"/>
        <w:spacing w:before="91" w:after="0"/>
        <w:jc w:val="center"/>
        <w:rPr/>
      </w:pPr>
      <w:r>
        <w:rPr>
          <w:rFonts w:eastAsia="SimSun" w:cs="Cambria" w:ascii="Cambria" w:hAnsi="Cambria"/>
          <w:b/>
          <w:bCs/>
          <w:color w:val="231F20"/>
          <w:sz w:val="22"/>
          <w:szCs w:val="22"/>
        </w:rPr>
        <w:t>Art. 13</w:t>
      </w:r>
    </w:p>
    <w:p>
      <w:pPr>
        <w:pStyle w:val="Standard"/>
        <w:rPr>
          <w:rFonts w:ascii="Cambria" w:hAnsi="Cambria" w:eastAsia="SimSun" w:cs="Cambria"/>
          <w:color w:val="231F20"/>
          <w:sz w:val="22"/>
          <w:szCs w:val="22"/>
          <w:u w:val="single"/>
        </w:rPr>
      </w:pPr>
      <w:r>
        <w:rPr>
          <w:rFonts w:eastAsia="SimSun" w:cs="Cambria" w:ascii="Cambria" w:hAnsi="Cambria"/>
          <w:color w:val="231F20"/>
          <w:sz w:val="22"/>
          <w:szCs w:val="22"/>
          <w:u w:val="single"/>
        </w:rPr>
      </w:r>
    </w:p>
    <w:p>
      <w:pPr>
        <w:pStyle w:val="Standard"/>
        <w:jc w:val="center"/>
        <w:rPr>
          <w:rFonts w:ascii="Cambria" w:hAnsi="Cambria" w:eastAsia="SimSun" w:cs="Cambria"/>
          <w:color w:val="231F20"/>
          <w:sz w:val="22"/>
          <w:szCs w:val="22"/>
          <w:u w:val="single"/>
        </w:rPr>
      </w:pPr>
      <w:r>
        <w:rPr>
          <w:rFonts w:eastAsia="SimSun" w:cs="Cambria" w:ascii="Cambria" w:hAnsi="Cambria"/>
          <w:color w:val="231F20"/>
          <w:sz w:val="22"/>
          <w:szCs w:val="22"/>
          <w:u w:val="single"/>
        </w:rPr>
        <w:t>adeguamento normativo e abrogazione</w:t>
      </w:r>
    </w:p>
    <w:p>
      <w:pPr>
        <w:pStyle w:val="Standard"/>
        <w:rPr>
          <w:rFonts w:ascii="Cambria" w:hAnsi="Cambria" w:eastAsia="SimSun" w:cs="Cambria"/>
          <w:color w:val="231F20"/>
          <w:sz w:val="22"/>
          <w:szCs w:val="22"/>
        </w:rPr>
      </w:pPr>
      <w:r>
        <w:rPr>
          <w:rFonts w:eastAsia="SimSun" w:cs="Cambria" w:ascii="Cambria" w:hAnsi="Cambria"/>
          <w:color w:val="231F20"/>
          <w:sz w:val="22"/>
          <w:szCs w:val="22"/>
        </w:rPr>
      </w:r>
    </w:p>
    <w:p>
      <w:pPr>
        <w:pStyle w:val="Standard"/>
        <w:jc w:val="both"/>
        <w:rPr>
          <w:rFonts w:ascii="Cambria" w:hAnsi="Cambria" w:eastAsia="SimSun" w:cs="Cambria"/>
          <w:color w:val="231F20"/>
          <w:sz w:val="22"/>
          <w:szCs w:val="22"/>
        </w:rPr>
      </w:pPr>
      <w:r>
        <w:rPr>
          <w:rFonts w:eastAsia="SimSun" w:cs="Cambria" w:ascii="Cambria" w:hAnsi="Cambria"/>
          <w:color w:val="231F20"/>
          <w:sz w:val="22"/>
          <w:szCs w:val="22"/>
        </w:rPr>
        <w:t xml:space="preserve">Le norme del presente regolamento si intendono modificate per effetto di sopravvenute, vincolanti norme statali, regionali e statutarie. </w:t>
      </w:r>
    </w:p>
    <w:p>
      <w:pPr>
        <w:pStyle w:val="Standard"/>
        <w:jc w:val="both"/>
        <w:rPr>
          <w:rFonts w:ascii="Cambria" w:hAnsi="Cambria" w:eastAsia="SimSun" w:cs="Cambria"/>
          <w:color w:val="231F20"/>
          <w:sz w:val="22"/>
          <w:szCs w:val="22"/>
        </w:rPr>
      </w:pPr>
      <w:r>
        <w:rPr>
          <w:rFonts w:eastAsia="SimSun" w:cs="Cambria" w:ascii="Cambria" w:hAnsi="Cambria"/>
          <w:color w:val="231F20"/>
          <w:sz w:val="22"/>
          <w:szCs w:val="22"/>
        </w:rPr>
        <w:t>In tal caso, in attesa della formale modificazione del presente regolamento, si applica  la normativa sovraordinata.</w:t>
      </w:r>
    </w:p>
    <w:p>
      <w:pPr>
        <w:pStyle w:val="Standard"/>
        <w:rPr/>
      </w:pPr>
      <w:r>
        <w:rPr/>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OpenSymbol">
    <w:altName w:val="Arial Unicode MS"/>
    <w:charset w:val="00"/>
    <w:family w:val="roman"/>
    <w:pitch w:val="variable"/>
  </w:font>
  <w:font w:name="Cambria">
    <w:charset w:val="00"/>
    <w:family w:val="roman"/>
    <w:pitch w:val="variable"/>
  </w:font>
  <w:font w:name="Liberation Sans">
    <w:altName w:val="Arial"/>
    <w:charset w:val="00"/>
    <w:family w:val="roman"/>
    <w:pitch w:val="variable"/>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360" w:hanging="360"/>
      </w:pPr>
      <w:rPr>
        <w:sz w:val="22"/>
        <w:rFonts w:ascii="Cambria" w:hAnsi="Cambria"/>
      </w:rPr>
    </w:lvl>
    <w:lvl w:ilvl="1">
      <w:start w:val="1"/>
      <w:numFmt w:val="decimal"/>
      <w:lvlText w:val="%1.%2."/>
      <w:lvlJc w:val="left"/>
      <w:pPr>
        <w:ind w:left="792" w:hanging="432"/>
      </w:pPr>
      <w:rPr>
        <w:sz w:val="22"/>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lvl w:ilvl="0">
      <w:start w:val="1"/>
      <w:numFmt w:val="decimal"/>
      <w:lvlText w:val="%1)"/>
      <w:lvlJc w:val="left"/>
      <w:pPr>
        <w:ind w:left="887" w:hanging="405"/>
      </w:pPr>
      <w:rPr>
        <w:sz w:val="21"/>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lvl w:ilvl="0">
      <w:start w:val="1"/>
      <w:numFmt w:val="decimal"/>
      <w:lvlText w:val="%1."/>
      <w:lvlJc w:val="left"/>
      <w:pPr>
        <w:ind w:left="791" w:hanging="360"/>
      </w:pPr>
    </w:lvl>
    <w:lvl w:ilvl="1">
      <w:start w:val="1"/>
      <w:numFmt w:val="lowerLetter"/>
      <w:lvlText w:val="%2."/>
      <w:lvlJc w:val="left"/>
      <w:pPr>
        <w:ind w:left="1511" w:hanging="360"/>
      </w:pPr>
    </w:lvl>
    <w:lvl w:ilvl="2">
      <w:start w:val="1"/>
      <w:numFmt w:val="lowerRoman"/>
      <w:lvlText w:val="%3."/>
      <w:lvlJc w:val="right"/>
      <w:pPr>
        <w:ind w:left="2231" w:hanging="180"/>
      </w:pPr>
    </w:lvl>
    <w:lvl w:ilvl="3">
      <w:start w:val="1"/>
      <w:numFmt w:val="decimal"/>
      <w:lvlText w:val="%4."/>
      <w:lvlJc w:val="left"/>
      <w:pPr>
        <w:ind w:left="2951" w:hanging="360"/>
      </w:pPr>
    </w:lvl>
    <w:lvl w:ilvl="4">
      <w:start w:val="1"/>
      <w:numFmt w:val="lowerLetter"/>
      <w:lvlText w:val="%5."/>
      <w:lvlJc w:val="left"/>
      <w:pPr>
        <w:ind w:left="3671" w:hanging="360"/>
      </w:pPr>
    </w:lvl>
    <w:lvl w:ilvl="5">
      <w:start w:val="1"/>
      <w:numFmt w:val="lowerRoman"/>
      <w:lvlText w:val="%6."/>
      <w:lvlJc w:val="right"/>
      <w:pPr>
        <w:ind w:left="4391" w:hanging="180"/>
      </w:pPr>
    </w:lvl>
    <w:lvl w:ilvl="6">
      <w:start w:val="1"/>
      <w:numFmt w:val="decimal"/>
      <w:lvlText w:val="%7."/>
      <w:lvlJc w:val="left"/>
      <w:pPr>
        <w:ind w:left="5111" w:hanging="360"/>
      </w:pPr>
    </w:lvl>
    <w:lvl w:ilvl="7">
      <w:start w:val="1"/>
      <w:numFmt w:val="lowerLetter"/>
      <w:lvlText w:val="%8."/>
      <w:lvlJc w:val="left"/>
      <w:pPr>
        <w:ind w:left="5831" w:hanging="360"/>
      </w:pPr>
    </w:lvl>
    <w:lvl w:ilvl="8">
      <w:start w:val="1"/>
      <w:numFmt w:val="lowerRoman"/>
      <w:lvlText w:val="%9."/>
      <w:lvlJc w:val="right"/>
      <w:pPr>
        <w:ind w:left="6551" w:hanging="180"/>
      </w:pPr>
    </w:lvl>
  </w:abstractNum>
  <w:abstractNum w:abstractNumI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lvl w:ilvl="0">
      <w:start w:val="1"/>
      <w:numFmt w:val="bullet"/>
      <w:lvlText w:val=""/>
      <w:lvlJc w:val="left"/>
      <w:pPr>
        <w:tabs>
          <w:tab w:val="num" w:pos="1429"/>
        </w:tabs>
        <w:ind w:left="1429" w:hanging="360"/>
      </w:pPr>
      <w:rPr>
        <w:rFonts w:ascii="Symbol" w:hAnsi="Symbol" w:cs="Symbol" w:hint="default"/>
        <w:rFonts w:cs="Symbol"/>
      </w:rPr>
    </w:lvl>
    <w:lvl w:ilvl="1">
      <w:start w:val="1"/>
      <w:numFmt w:val="lowerLetter"/>
      <w:lvlText w:val="%2)"/>
      <w:lvlJc w:val="left"/>
      <w:pPr>
        <w:tabs>
          <w:tab w:val="num" w:pos="1789"/>
        </w:tabs>
        <w:ind w:left="1789" w:hanging="360"/>
      </w:pPr>
    </w:lvl>
    <w:lvl w:ilvl="2">
      <w:start w:val="1"/>
      <w:numFmt w:val="bullet"/>
      <w:lvlText w:val="▪"/>
      <w:lvlJc w:val="left"/>
      <w:pPr>
        <w:tabs>
          <w:tab w:val="num" w:pos="2149"/>
        </w:tabs>
        <w:ind w:left="2149" w:hanging="360"/>
      </w:pPr>
      <w:rPr>
        <w:rFonts w:ascii="OpenSymbol" w:hAnsi="OpenSymbol" w:cs="OpenSymbol" w:hint="default"/>
        <w:rFonts w:cs="OpenSymbol"/>
      </w:rPr>
    </w:lvl>
    <w:lvl w:ilvl="3">
      <w:start w:val="1"/>
      <w:numFmt w:val="bullet"/>
      <w:lvlText w:val=""/>
      <w:lvlJc w:val="left"/>
      <w:pPr>
        <w:tabs>
          <w:tab w:val="num" w:pos="2509"/>
        </w:tabs>
        <w:ind w:left="2509" w:hanging="360"/>
      </w:pPr>
      <w:rPr>
        <w:rFonts w:ascii="Symbol" w:hAnsi="Symbol" w:cs="Symbol" w:hint="default"/>
        <w:rFonts w:cs="Symbol"/>
      </w:rPr>
    </w:lvl>
    <w:lvl w:ilvl="4">
      <w:start w:val="1"/>
      <w:numFmt w:val="bullet"/>
      <w:lvlText w:val="◦"/>
      <w:lvlJc w:val="left"/>
      <w:pPr>
        <w:tabs>
          <w:tab w:val="num" w:pos="2869"/>
        </w:tabs>
        <w:ind w:left="2869" w:hanging="360"/>
      </w:pPr>
      <w:rPr>
        <w:rFonts w:ascii="OpenSymbol" w:hAnsi="OpenSymbol" w:cs="OpenSymbol" w:hint="default"/>
        <w:rFonts w:cs="OpenSymbol"/>
      </w:rPr>
    </w:lvl>
    <w:lvl w:ilvl="5">
      <w:start w:val="1"/>
      <w:numFmt w:val="bullet"/>
      <w:lvlText w:val="▪"/>
      <w:lvlJc w:val="left"/>
      <w:pPr>
        <w:tabs>
          <w:tab w:val="num" w:pos="3229"/>
        </w:tabs>
        <w:ind w:left="3229" w:hanging="360"/>
      </w:pPr>
      <w:rPr>
        <w:rFonts w:ascii="OpenSymbol" w:hAnsi="OpenSymbol" w:cs="OpenSymbol" w:hint="default"/>
        <w:rFonts w:cs="OpenSymbol"/>
      </w:rPr>
    </w:lvl>
    <w:lvl w:ilvl="6">
      <w:start w:val="1"/>
      <w:numFmt w:val="bullet"/>
      <w:lvlText w:val=""/>
      <w:lvlJc w:val="left"/>
      <w:pPr>
        <w:tabs>
          <w:tab w:val="num" w:pos="3589"/>
        </w:tabs>
        <w:ind w:left="3589" w:hanging="360"/>
      </w:pPr>
      <w:rPr>
        <w:rFonts w:ascii="Symbol" w:hAnsi="Symbol" w:cs="Symbol" w:hint="default"/>
        <w:rFonts w:cs="Symbol"/>
      </w:rPr>
    </w:lvl>
    <w:lvl w:ilvl="7">
      <w:start w:val="1"/>
      <w:numFmt w:val="bullet"/>
      <w:lvlText w:val="◦"/>
      <w:lvlJc w:val="left"/>
      <w:pPr>
        <w:tabs>
          <w:tab w:val="num" w:pos="3949"/>
        </w:tabs>
        <w:ind w:left="3949" w:hanging="360"/>
      </w:pPr>
      <w:rPr>
        <w:rFonts w:ascii="OpenSymbol" w:hAnsi="OpenSymbol" w:cs="OpenSymbol" w:hint="default"/>
        <w:rFonts w:cs="OpenSymbol"/>
      </w:rPr>
    </w:lvl>
    <w:lvl w:ilvl="8">
      <w:start w:val="1"/>
      <w:numFmt w:val="bullet"/>
      <w:lvlText w:val="▪"/>
      <w:lvlJc w:val="left"/>
      <w:pPr>
        <w:tabs>
          <w:tab w:val="num" w:pos="4309"/>
        </w:tabs>
        <w:ind w:left="4309" w:hanging="360"/>
      </w:pPr>
      <w:rPr>
        <w:rFonts w:ascii="OpenSymbol" w:hAnsi="OpenSymbol" w:cs="OpenSymbol" w:hint="default"/>
        <w:rFonts w:cs="OpenSymbol"/>
      </w:rPr>
    </w:lvl>
  </w:abstractNum>
  <w:abstractNum w:abstractNumId="6">
    <w:lvl w:ilvl="0">
      <w:start w:val="1"/>
      <w:numFmt w:val="lowerLetter"/>
      <w:lvlText w:val="%1)"/>
      <w:lvlJc w:val="left"/>
      <w:pPr>
        <w:tabs>
          <w:tab w:val="num" w:pos="720"/>
        </w:tabs>
        <w:ind w:left="720" w:hanging="360"/>
      </w:p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7">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90"/>
  <w:defaultTabStop w:val="720"/>
  <w:autoHyphenation w:val="false"/>
  <w:compat>
    <w:compatSetting w:name="compatibilityMode" w:uri="http://schemas.microsoft.com/office/word" w:val="15"/>
    <w:compatSetting w:name="useWord2013TrackBottomHyphenation"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Unicode MS"/>
        <w:kern w:val="2"/>
        <w:szCs w:val="24"/>
        <w:lang w:val="it-IT" w:eastAsia="zh-CN" w:bidi="hi-IN"/>
      </w:rPr>
    </w:rPrDefault>
    <w:pPrDefault>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suppressAutoHyphens w:val="true"/>
      <w:bidi w:val="0"/>
      <w:spacing w:before="0" w:after="0"/>
      <w:jc w:val="left"/>
      <w:textAlignment w:val="baseline"/>
    </w:pPr>
    <w:rPr>
      <w:rFonts w:ascii="Liberation Serif" w:hAnsi="Liberation Serif" w:eastAsia="NSimSun" w:cs="Arial Unicode MS"/>
      <w:color w:val="auto"/>
      <w:kern w:val="2"/>
      <w:sz w:val="24"/>
      <w:szCs w:val="24"/>
      <w:lang w:val="it-IT" w:eastAsia="zh-CN" w:bidi="hi-IN"/>
    </w:rPr>
  </w:style>
  <w:style w:type="character" w:styleId="DefaultParagraphFont" w:default="1">
    <w:name w:val="Default Paragraph Font"/>
    <w:uiPriority w:val="1"/>
    <w:semiHidden/>
    <w:unhideWhenUsed/>
    <w:qFormat/>
    <w:rPr/>
  </w:style>
  <w:style w:type="character" w:styleId="Punti">
    <w:name w:val="Punti"/>
    <w:qFormat/>
    <w:rPr>
      <w:rFonts w:ascii="OpenSymbol" w:hAnsi="OpenSymbol" w:eastAsia="OpenSymbol" w:cs="OpenSymbol"/>
    </w:rPr>
  </w:style>
  <w:style w:type="character" w:styleId="Caratteridinumerazione">
    <w:name w:val="Caratteri di numerazione"/>
    <w:qFormat/>
    <w:rPr/>
  </w:style>
  <w:style w:type="character" w:styleId="ListLabel1">
    <w:name w:val="ListLabel 1"/>
    <w:qFormat/>
    <w:rPr>
      <w:rFonts w:ascii="Cambria" w:hAnsi="Cambria"/>
      <w:sz w:val="22"/>
    </w:rPr>
  </w:style>
  <w:style w:type="character" w:styleId="ListLabel2">
    <w:name w:val="ListLabel 2"/>
    <w:qFormat/>
    <w:rPr>
      <w:rFonts w:ascii="Cambria" w:hAnsi="Cambria"/>
      <w:b/>
      <w:bCs/>
      <w:sz w:val="22"/>
    </w:rPr>
  </w:style>
  <w:style w:type="character" w:styleId="ListLabel3">
    <w:name w:val="ListLabel 3"/>
    <w:qFormat/>
    <w:rPr>
      <w:rFonts w:cs="Times New Roman"/>
      <w:sz w:val="21"/>
    </w:rPr>
  </w:style>
  <w:style w:type="character" w:styleId="ListLabel4">
    <w:name w:val="ListLabel 4"/>
    <w:qFormat/>
    <w:rPr>
      <w:rFonts w:cs="Symbol"/>
    </w:rPr>
  </w:style>
  <w:style w:type="character" w:styleId="ListLabel5">
    <w:name w:val="ListLabel 5"/>
    <w:qFormat/>
    <w:rPr>
      <w:rFonts w:cs="OpenSymbol"/>
    </w:rPr>
  </w:style>
  <w:style w:type="character" w:styleId="ListLabel6">
    <w:name w:val="ListLabel 6"/>
    <w:qFormat/>
    <w:rPr>
      <w:rFonts w:cs="Symbol"/>
    </w:rPr>
  </w:style>
  <w:style w:type="character" w:styleId="ListLabel7">
    <w:name w:val="ListLabel 7"/>
    <w:qFormat/>
    <w:rPr>
      <w:rFonts w:cs="OpenSymbol"/>
    </w:rPr>
  </w:style>
  <w:style w:type="character" w:styleId="ListLabel8">
    <w:name w:val="ListLabel 8"/>
    <w:qFormat/>
    <w:rPr>
      <w:rFonts w:cs="OpenSymbol"/>
    </w:rPr>
  </w:style>
  <w:style w:type="character" w:styleId="ListLabel9">
    <w:name w:val="ListLabel 9"/>
    <w:qFormat/>
    <w:rPr>
      <w:rFonts w:cs="Symbol"/>
    </w:rPr>
  </w:style>
  <w:style w:type="character" w:styleId="ListLabel10">
    <w:name w:val="ListLabel 10"/>
    <w:qFormat/>
    <w:rPr>
      <w:rFonts w:cs="OpenSymbol"/>
    </w:rPr>
  </w:style>
  <w:style w:type="character" w:styleId="ListLabel11">
    <w:name w:val="ListLabel 11"/>
    <w:qFormat/>
    <w:rPr>
      <w:rFonts w:cs="OpenSymbol"/>
    </w:rPr>
  </w:style>
  <w:style w:type="character" w:styleId="ListLabel12">
    <w:name w:val="ListLabel 12"/>
    <w:qFormat/>
    <w:rPr>
      <w:rFonts w:cs="OpenSymbol"/>
    </w:rPr>
  </w:style>
  <w:style w:type="character" w:styleId="ListLabel13">
    <w:name w:val="ListLabel 13"/>
    <w:qFormat/>
    <w:rPr>
      <w:rFonts w:cs="OpenSymbol"/>
    </w:rPr>
  </w:style>
  <w:style w:type="character" w:styleId="ListLabel14">
    <w:name w:val="ListLabel 14"/>
    <w:qFormat/>
    <w:rPr>
      <w:rFonts w:cs="Symbol"/>
    </w:rPr>
  </w:style>
  <w:style w:type="character" w:styleId="ListLabel15">
    <w:name w:val="ListLabel 15"/>
    <w:qFormat/>
    <w:rPr>
      <w:rFonts w:cs="OpenSymbol"/>
    </w:rPr>
  </w:style>
  <w:style w:type="character" w:styleId="ListLabel16">
    <w:name w:val="ListLabel 16"/>
    <w:qFormat/>
    <w:rPr>
      <w:rFonts w:cs="OpenSymbol"/>
    </w:rPr>
  </w:style>
  <w:style w:type="character" w:styleId="ListLabel17">
    <w:name w:val="ListLabel 17"/>
    <w:qFormat/>
    <w:rPr>
      <w:rFonts w:cs="Symbol"/>
    </w:rPr>
  </w:style>
  <w:style w:type="character" w:styleId="ListLabel18">
    <w:name w:val="ListLabel 18"/>
    <w:qFormat/>
    <w:rPr>
      <w:rFonts w:cs="OpenSymbol"/>
    </w:rPr>
  </w:style>
  <w:style w:type="character" w:styleId="ListLabel19">
    <w:name w:val="ListLabel 19"/>
    <w:qFormat/>
    <w:rPr>
      <w:rFonts w:cs="OpenSymbol"/>
    </w:rPr>
  </w:style>
  <w:style w:type="character" w:styleId="ListLabel20">
    <w:name w:val="ListLabel 20"/>
    <w:qFormat/>
    <w:rPr>
      <w:rFonts w:ascii="Cambria" w:hAnsi="Cambria"/>
      <w:sz w:val="22"/>
    </w:rPr>
  </w:style>
  <w:style w:type="character" w:styleId="ListLabel21">
    <w:name w:val="ListLabel 21"/>
    <w:qFormat/>
    <w:rPr>
      <w:b/>
      <w:bCs/>
      <w:sz w:val="22"/>
    </w:rPr>
  </w:style>
  <w:style w:type="character" w:styleId="ListLabel22">
    <w:name w:val="ListLabel 22"/>
    <w:qFormat/>
    <w:rPr>
      <w:rFonts w:cs="Times New Roman"/>
      <w:sz w:val="21"/>
    </w:rPr>
  </w:style>
  <w:style w:type="character" w:styleId="ListLabel23">
    <w:name w:val="ListLabel 23"/>
    <w:qFormat/>
    <w:rPr>
      <w:rFonts w:cs="Symbol"/>
    </w:rPr>
  </w:style>
  <w:style w:type="character" w:styleId="ListLabel24">
    <w:name w:val="ListLabel 24"/>
    <w:qFormat/>
    <w:rPr>
      <w:rFonts w:cs="OpenSymbol"/>
    </w:rPr>
  </w:style>
  <w:style w:type="character" w:styleId="ListLabel25">
    <w:name w:val="ListLabel 25"/>
    <w:qFormat/>
    <w:rPr>
      <w:rFonts w:cs="Symbol"/>
    </w:rPr>
  </w:style>
  <w:style w:type="character" w:styleId="ListLabel26">
    <w:name w:val="ListLabel 26"/>
    <w:qFormat/>
    <w:rPr>
      <w:rFonts w:cs="OpenSymbol"/>
    </w:rPr>
  </w:style>
  <w:style w:type="character" w:styleId="ListLabel27">
    <w:name w:val="ListLabel 27"/>
    <w:qFormat/>
    <w:rPr>
      <w:rFonts w:cs="OpenSymbol"/>
    </w:rPr>
  </w:style>
  <w:style w:type="character" w:styleId="ListLabel28">
    <w:name w:val="ListLabel 28"/>
    <w:qFormat/>
    <w:rPr>
      <w:rFonts w:cs="Symbol"/>
    </w:rPr>
  </w:style>
  <w:style w:type="character" w:styleId="ListLabel29">
    <w:name w:val="ListLabel 29"/>
    <w:qFormat/>
    <w:rPr>
      <w:rFonts w:cs="OpenSymbol"/>
    </w:rPr>
  </w:style>
  <w:style w:type="character" w:styleId="ListLabel30">
    <w:name w:val="ListLabel 30"/>
    <w:qFormat/>
    <w:rPr>
      <w:rFonts w:cs="OpenSymbol"/>
    </w:rPr>
  </w:style>
  <w:style w:type="character" w:styleId="ListLabel31">
    <w:name w:val="ListLabel 31"/>
    <w:qFormat/>
    <w:rPr>
      <w:rFonts w:cs="OpenSymbol"/>
    </w:rPr>
  </w:style>
  <w:style w:type="character" w:styleId="ListLabel32">
    <w:name w:val="ListLabel 32"/>
    <w:qFormat/>
    <w:rPr>
      <w:rFonts w:cs="OpenSymbol"/>
    </w:rPr>
  </w:style>
  <w:style w:type="character" w:styleId="ListLabel33">
    <w:name w:val="ListLabel 33"/>
    <w:qFormat/>
    <w:rPr>
      <w:rFonts w:cs="Symbol"/>
    </w:rPr>
  </w:style>
  <w:style w:type="character" w:styleId="ListLabel34">
    <w:name w:val="ListLabel 34"/>
    <w:qFormat/>
    <w:rPr>
      <w:rFonts w:cs="OpenSymbol"/>
    </w:rPr>
  </w:style>
  <w:style w:type="character" w:styleId="ListLabel35">
    <w:name w:val="ListLabel 35"/>
    <w:qFormat/>
    <w:rPr>
      <w:rFonts w:cs="OpenSymbol"/>
    </w:rPr>
  </w:style>
  <w:style w:type="character" w:styleId="ListLabel36">
    <w:name w:val="ListLabel 36"/>
    <w:qFormat/>
    <w:rPr>
      <w:rFonts w:cs="Symbol"/>
    </w:rPr>
  </w:style>
  <w:style w:type="character" w:styleId="ListLabel37">
    <w:name w:val="ListLabel 37"/>
    <w:qFormat/>
    <w:rPr>
      <w:rFonts w:cs="OpenSymbol"/>
    </w:rPr>
  </w:style>
  <w:style w:type="character" w:styleId="ListLabel38">
    <w:name w:val="ListLabel 38"/>
    <w:qFormat/>
    <w:rPr>
      <w:rFonts w:cs="OpenSymbol"/>
    </w:rPr>
  </w:style>
  <w:style w:type="paragraph" w:styleId="Titolo" w:customStyle="1">
    <w:name w:val="Titolo"/>
    <w:next w:val="Textbody"/>
    <w:qFormat/>
    <w:pPr>
      <w:keepNext w:val="true"/>
      <w:widowControl/>
      <w:suppressAutoHyphens w:val="true"/>
      <w:bidi w:val="0"/>
      <w:spacing w:before="240" w:after="120"/>
      <w:jc w:val="left"/>
    </w:pPr>
    <w:rPr>
      <w:rFonts w:ascii="Liberation Sans" w:hAnsi="Liberation Sans" w:eastAsia="Microsoft YaHei" w:cs="Arial Unicode MS"/>
      <w:color w:val="auto"/>
      <w:kern w:val="2"/>
      <w:sz w:val="28"/>
      <w:szCs w:val="28"/>
      <w:lang w:val="it-IT" w:eastAsia="zh-CN" w:bidi="hi-IN"/>
    </w:rPr>
  </w:style>
  <w:style w:type="paragraph" w:styleId="Corpodeltesto">
    <w:name w:val="Body Text"/>
    <w:basedOn w:val="Normal"/>
    <w:pPr>
      <w:spacing w:lineRule="auto" w:line="276" w:before="0" w:after="140"/>
    </w:pPr>
    <w:rPr/>
  </w:style>
  <w:style w:type="paragraph" w:styleId="Elenco">
    <w:name w:val="List"/>
    <w:pPr>
      <w:widowControl/>
      <w:suppressAutoHyphens w:val="true"/>
      <w:bidi w:val="0"/>
      <w:spacing w:before="0" w:after="0"/>
      <w:jc w:val="left"/>
    </w:pPr>
    <w:rPr>
      <w:rFonts w:ascii="Liberation Serif" w:hAnsi="Liberation Serif" w:eastAsia="NSimSun" w:cs="Arial Unicode MS"/>
      <w:color w:val="auto"/>
      <w:kern w:val="2"/>
      <w:sz w:val="24"/>
      <w:szCs w:val="24"/>
      <w:lang w:val="it-IT" w:eastAsia="zh-CN" w:bidi="hi-IN"/>
    </w:rPr>
  </w:style>
  <w:style w:type="paragraph" w:styleId="Didascalia">
    <w:name w:val="Caption"/>
    <w:basedOn w:val="Normal"/>
    <w:qFormat/>
    <w:pPr>
      <w:suppressLineNumbers/>
      <w:spacing w:before="120" w:after="120"/>
    </w:pPr>
    <w:rPr>
      <w:rFonts w:cs="Arial Unicode MS"/>
      <w:i/>
      <w:iCs/>
      <w:sz w:val="24"/>
      <w:szCs w:val="24"/>
    </w:rPr>
  </w:style>
  <w:style w:type="paragraph" w:styleId="Indice" w:customStyle="1">
    <w:name w:val="Indice"/>
    <w:qFormat/>
    <w:pPr>
      <w:widowControl/>
      <w:suppressLineNumbers/>
      <w:suppressAutoHyphens w:val="true"/>
      <w:bidi w:val="0"/>
      <w:spacing w:before="0" w:after="0"/>
      <w:jc w:val="left"/>
    </w:pPr>
    <w:rPr>
      <w:rFonts w:ascii="Liberation Serif" w:hAnsi="Liberation Serif" w:eastAsia="NSimSun" w:cs="Arial Unicode MS"/>
      <w:color w:val="auto"/>
      <w:kern w:val="2"/>
      <w:sz w:val="24"/>
      <w:szCs w:val="24"/>
      <w:lang w:val="it-IT" w:eastAsia="zh-CN" w:bidi="hi-IN"/>
    </w:rPr>
  </w:style>
  <w:style w:type="paragraph" w:styleId="Standard" w:customStyle="1">
    <w:name w:val="Standard"/>
    <w:qFormat/>
    <w:pPr>
      <w:widowControl/>
      <w:suppressAutoHyphens w:val="true"/>
      <w:bidi w:val="0"/>
      <w:spacing w:before="0" w:after="0"/>
      <w:jc w:val="left"/>
      <w:textAlignment w:val="baseline"/>
    </w:pPr>
    <w:rPr>
      <w:rFonts w:ascii="Liberation Serif" w:hAnsi="Liberation Serif" w:eastAsia="NSimSun" w:cs="Arial Unicode MS"/>
      <w:color w:val="auto"/>
      <w:kern w:val="2"/>
      <w:sz w:val="24"/>
      <w:szCs w:val="24"/>
      <w:lang w:val="it-IT" w:eastAsia="zh-CN" w:bidi="hi-IN"/>
    </w:rPr>
  </w:style>
  <w:style w:type="paragraph" w:styleId="Textbody" w:customStyle="1">
    <w:name w:val="Text body"/>
    <w:basedOn w:val="Standard"/>
    <w:qFormat/>
    <w:pPr>
      <w:spacing w:lineRule="auto" w:line="276" w:before="0" w:after="140"/>
    </w:pPr>
    <w:rPr/>
  </w:style>
  <w:style w:type="paragraph" w:styleId="Caption">
    <w:name w:val="caption"/>
    <w:basedOn w:val="Standard"/>
    <w:qFormat/>
    <w:pPr>
      <w:suppressLineNumbers/>
      <w:spacing w:before="120" w:after="120"/>
    </w:pPr>
    <w:rPr>
      <w:i/>
      <w:iCs/>
    </w:rPr>
  </w:style>
  <w:style w:type="paragraph" w:styleId="DocumentMap" w:customStyle="1">
    <w:name w:val="Document Map"/>
    <w:qFormat/>
    <w:pPr>
      <w:widowControl/>
      <w:suppressAutoHyphens w:val="true"/>
      <w:bidi w:val="0"/>
      <w:spacing w:before="0" w:after="0"/>
      <w:jc w:val="left"/>
      <w:textAlignment w:val="auto"/>
    </w:pPr>
    <w:rPr>
      <w:rFonts w:ascii="Times New Roman" w:hAnsi="Times New Roman" w:eastAsia="SimSun" w:cs="Times New Roman"/>
      <w:color w:val="auto"/>
      <w:kern w:val="2"/>
      <w:sz w:val="20"/>
      <w:szCs w:val="20"/>
      <w:lang w:val="it-IT" w:eastAsia="it-IT" w:bidi="hi-IN"/>
    </w:rPr>
  </w:style>
  <w:style w:type="paragraph" w:styleId="Western" w:customStyle="1">
    <w:name w:val="western"/>
    <w:basedOn w:val="Standard"/>
    <w:qFormat/>
    <w:pPr>
      <w:spacing w:before="280" w:after="280"/>
      <w:ind w:left="113" w:firstLine="340"/>
      <w:jc w:val="both"/>
      <w:textAlignment w:val="auto"/>
    </w:pPr>
    <w:rPr>
      <w:rFonts w:ascii="Cambria" w:hAnsi="Cambria" w:eastAsia="SimSun" w:cs="Cambria"/>
      <w:sz w:val="16"/>
      <w:szCs w:val="16"/>
      <w:lang w:bidi="ar-SA"/>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Application>LibreOffice/6.2.2.2$Windows_x86 LibreOffice_project/2b840030fec2aae0fd2658d8d4f9548af4e3518d</Application>
  <Pages>6</Pages>
  <Words>2902</Words>
  <Characters>16876</Characters>
  <CharactersWithSpaces>19834</CharactersWithSpaces>
  <Paragraphs>93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2024-12-18T01:22:00Z</dcterms:created>
  <dc:creator>Vicari Giuseppe</dc:creator>
  <dc:description/>
  <dc:language>it-IT</dc:language>
  <cp:lastModifiedBy/>
  <dcterms:modified xsi:type="dcterms:W3CDTF">2025-01-23T10:13:03Z</dcterms:modified>
  <cp:revision>16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