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app.xml" ContentType="application/vnd.openxmlformats-officedocument.extended-properties+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docProps/core.xml" ContentType="application/vnd.openxmlformats-package.core-properti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op w:val="none" w:color="000000" w:sz="4" w:space="0"/>
          <w:left w:val="none" w:color="000000" w:sz="4" w:space="0"/>
          <w:bottom w:val="none" w:color="000000" w:sz="4" w:space="0"/>
          <w:right w:val="none" w:color="000000" w:sz="4" w:space="0"/>
          <w:between w:val="none" w:color="000000" w:sz="4" w:space="0"/>
        </w:pBdr>
        <w:spacing w:line="360" w:lineRule="auto"/>
        <w:ind/>
        <w:jc w:val="center"/>
        <w:rPr>
          <w:b/>
          <w:bCs/>
          <w:color w:val="000000"/>
        </w:rPr>
      </w:pPr>
      <w:r>
        <mc:AlternateContent>
          <mc:Choice Requires="wpg">
            <w:drawing>
              <wp:anchor xmlns:wp="http://schemas.openxmlformats.org/drawingml/2006/wordprocessingDrawing" xmlns:wp14="http://schemas.microsoft.com/office/word/2010/wordprocessingDrawing" distT="0" distB="0" distL="0" distR="0" simplePos="0" relativeHeight="251658240" behindDoc="0" locked="0" layoutInCell="1" allowOverlap="1">
                <wp:simplePos x="0" y="0"/>
                <wp:positionH relativeFrom="column">
                  <wp:posOffset>72072</wp:posOffset>
                </wp:positionH>
                <wp:positionV relativeFrom="paragraph">
                  <wp:posOffset>635</wp:posOffset>
                </wp:positionV>
                <wp:extent cx="6155690" cy="38671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50" name="image1.png"/>
                        <pic:cNvPicPr/>
                        <pic:nvPr/>
                      </pic:nvPicPr>
                      <pic:blipFill>
                        <a:blip r:embed="rId13"/>
                        <a:srcRect l="-40" t="-641" r="-40" b="-641"/>
                        <a:stretch/>
                      </pic:blipFill>
                      <pic:spPr bwMode="auto">
                        <a:xfrm>
                          <a:off x="0" y="0"/>
                          <a:ext cx="6155689" cy="38671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5.67pt;mso-position-horizontal:absolute;mso-position-vertical-relative:text;margin-top:0.05pt;mso-position-vertical:absolute;width:484.70pt;height:30.45pt;mso-wrap-distance-left:0.00pt;mso-wrap-distance-top:0.00pt;mso-wrap-distance-right:0.00pt;mso-wrap-distance-bottom:0.00pt;z-index:1;" stroked="false">
                <w10:wrap type="square"/>
                <v:imagedata r:id="rId13" o:title=""/>
                <o:lock v:ext="edit" rotation="t"/>
              </v:shape>
            </w:pict>
          </mc:Fallback>
        </mc:AlternateContent>
      </w:r>
      <w:r>
        <w:rPr>
          <w:b/>
          <w:bCs/>
          <w:color w:val="000000"/>
        </w:rPr>
      </w:r>
    </w:p>
    <w:p>
      <w:pPr>
        <w:pStyle w:val="824"/>
        <w:pBdr>
          <w:top w:val="none" w:color="000000" w:sz="4" w:space="0"/>
          <w:left w:val="none" w:color="000000" w:sz="4" w:space="0"/>
          <w:bottom w:val="none" w:color="000000" w:sz="4" w:space="0"/>
          <w:right w:val="none" w:color="000000" w:sz="4" w:space="0"/>
          <w:between w:val="none" w:color="000000" w:sz="4" w:space="0"/>
        </w:pBdr>
        <w:spacing/>
        <w:ind w:left="141"/>
        <w:rPr>
          <w:color w:val="1f4c78"/>
        </w:rPr>
      </w:pPr>
      <w:r>
        <w:rPr>
          <w:color w:val="1f4c78"/>
        </w:rPr>
      </w:r>
      <w:r>
        <w:rPr>
          <w:color w:val="1f4c78"/>
        </w:rPr>
      </w:r>
    </w:p>
    <w:p>
      <w:pPr>
        <w:pStyle w:val="824"/>
        <w:pBdr>
          <w:top w:val="none" w:color="000000" w:sz="0" w:space="0"/>
          <w:left w:val="none" w:color="000000" w:sz="0" w:space="0"/>
          <w:bottom w:val="none" w:color="000000" w:sz="0" w:space="0"/>
          <w:right w:val="none" w:color="000000" w:sz="0" w:space="0"/>
          <w:between w:val="none" w:color="000000" w:sz="0" w:space="0"/>
        </w:pBdr>
        <w:spacing/>
        <w:ind w:left="141"/>
        <w:rPr>
          <w:color w:val="1f4c78"/>
        </w:rPr>
      </w:pPr>
      <w:r>
        <w:rPr>
          <w:color w:val="1f4c78"/>
        </w:rPr>
        <w:t xml:space="preserve">Allegato 12 - Modello di Decreto di ammissione a finanziamento</w:t>
      </w:r>
      <w:r>
        <w:rPr>
          <w:color w:val="1f4c78"/>
        </w:rPr>
      </w:r>
    </w:p>
    <w:p>
      <w:pPr>
        <w:pBdr/>
        <w:spacing w:line="360" w:lineRule="auto"/>
        <w:ind/>
        <w:rPr>
          <w:b/>
          <w:bCs/>
        </w:rPr>
      </w:pPr>
      <w:r>
        <w:rPr>
          <w:b/>
          <w:bCs/>
        </w:rPr>
      </w:r>
      <w:r>
        <w:rPr>
          <w:b/>
          <w:bCs/>
        </w:rPr>
      </w:r>
    </w:p>
    <w:p>
      <w:pPr>
        <w:pBdr/>
        <w:spacing w:line="360" w:lineRule="auto"/>
        <w:ind/>
        <w:rPr>
          <w:b/>
          <w:bCs/>
        </w:rPr>
      </w:pPr>
      <w:r>
        <w:rPr>
          <w:b/>
          <w:bCs/>
        </w:rPr>
        <w:t xml:space="preserve">D.D.G. n. ______ /____</w:t>
      </w:r>
      <w:r>
        <w:rPr>
          <w:b/>
          <w:bCs/>
        </w:rPr>
      </w:r>
    </w:p>
    <w:p>
      <w:pPr>
        <w:pBdr>
          <w:top w:val="none" w:color="000000" w:sz="0" w:space="0"/>
          <w:left w:val="none" w:color="000000" w:sz="0" w:space="0"/>
          <w:bottom w:val="none" w:color="000000" w:sz="0" w:space="0"/>
          <w:right w:val="none" w:color="000000" w:sz="0" w:space="0"/>
          <w:between w:val="none" w:color="000000" w:sz="0" w:space="0"/>
        </w:pBdr>
        <w:spacing w:line="360" w:lineRule="auto"/>
        <w:ind/>
        <w:jc w:val="center"/>
        <w:rPr>
          <w:b/>
          <w:bCs/>
          <w:color w:val="000000"/>
        </w:rPr>
      </w:pPr>
      <w:r>
        <w:rPr>
          <w:b/>
          <w:bCs/>
        </w:rPr>
        <w:t xml:space="preserve">REGIONE SICILIANA</w:t>
      </w:r>
      <w:r>
        <w:rPr>
          <w:b/>
          <w:bCs/>
        </w:rPr>
        <w:br/>
      </w:r>
      <w:r>
        <w:rPr>
          <w:b/>
          <w:bCs/>
          <w:color w:val="000000"/>
        </w:rPr>
        <w:t xml:space="preserve">ASSESSORATO DELLA SALUTE</w:t>
      </w:r>
      <w:r>
        <w:rPr>
          <w:b/>
          <w:bCs/>
          <w:color w:val="000000"/>
        </w:rPr>
      </w:r>
    </w:p>
    <w:p>
      <w:pPr>
        <w:pBdr/>
        <w:spacing w:line="360" w:lineRule="auto"/>
        <w:ind/>
        <w:jc w:val="center"/>
        <w:rPr>
          <w:b/>
          <w:bCs/>
        </w:rPr>
      </w:pPr>
      <w:r>
        <w:rPr>
          <w:b/>
          <w:bCs/>
        </w:rPr>
        <w:t xml:space="preserve">Dipartimento Regionale Pianificazione Strategica</w:t>
      </w:r>
      <w:r>
        <w:rPr>
          <w:b/>
          <w:bCs/>
        </w:rPr>
      </w:r>
    </w:p>
    <w:p>
      <w:pPr>
        <w:pBdr/>
        <w:spacing w:line="360" w:lineRule="auto"/>
        <w:ind/>
        <w:jc w:val="center"/>
        <w:rPr>
          <w:b/>
          <w:bCs/>
        </w:rPr>
      </w:pPr>
      <w:r>
        <w:rPr>
          <w:b/>
          <w:bCs/>
        </w:rPr>
        <w:t xml:space="preserve">IL DIRIGENTE GENERALE</w:t>
      </w:r>
      <w:r>
        <w:rPr>
          <w:b/>
          <w:bCs/>
        </w:rPr>
      </w:r>
    </w:p>
    <w:p>
      <w:pPr>
        <w:pBdr/>
        <w:spacing w:line="360" w:lineRule="auto"/>
        <w:ind/>
        <w:jc w:val="center"/>
        <w:rPr>
          <w:b/>
          <w:bCs/>
        </w:rPr>
      </w:pPr>
      <w:r>
        <w:rPr>
          <w:b/>
          <w:bCs/>
        </w:rPr>
      </w:r>
      <w:r>
        <w:rPr>
          <w:b/>
          <w:bCs/>
        </w:rPr>
      </w:r>
    </w:p>
    <w:p>
      <w:pPr>
        <w:pBdr/>
        <w:spacing w:line="360" w:lineRule="auto"/>
        <w:ind/>
        <w:jc w:val="center"/>
        <w:rPr/>
      </w:pPr>
      <w:r>
        <w:rPr>
          <w:b/>
          <w:bCs/>
        </w:rPr>
        <w:t xml:space="preserve">Decreto di ammissione a finanziamento dell’Avviso pubblico - Azione 4.5.1 PR FESR Sicilia 2021/2027 </w:t>
      </w:r>
      <w:r/>
    </w:p>
    <w:p>
      <w:pPr>
        <w:pBdr/>
        <w:spacing w:after="114" w:before="114" w:line="276" w:lineRule="auto"/>
        <w:ind/>
        <w:jc w:val="center"/>
        <w:rPr>
          <w:b/>
          <w:bCs/>
        </w:rPr>
      </w:pPr>
      <w:r>
        <w:rPr>
          <w:b/>
          <w:bCs/>
        </w:rPr>
        <w:t xml:space="preserve">FESR 2021-2027 – Beneficiario _____________</w:t>
      </w:r>
      <w:r>
        <w:rPr>
          <w:b/>
          <w:bCs/>
        </w:rPr>
      </w:r>
    </w:p>
    <w:p>
      <w:pPr>
        <w:pBdr/>
        <w:spacing w:after="114" w:before="114" w:line="276" w:lineRule="auto"/>
        <w:ind/>
        <w:jc w:val="center"/>
        <w:rPr>
          <w:b/>
          <w:bCs/>
        </w:rPr>
      </w:pPr>
      <w:r>
        <w:rPr>
          <w:b/>
          <w:bCs/>
        </w:rPr>
        <w:t xml:space="preserve">Intervento denominato _______________</w:t>
      </w:r>
      <w:r>
        <w:rPr>
          <w:b/>
          <w:bCs/>
        </w:rPr>
      </w:r>
    </w:p>
    <w:p>
      <w:pPr>
        <w:pBdr/>
        <w:spacing w:after="114" w:before="114" w:line="276" w:lineRule="auto"/>
        <w:ind/>
        <w:jc w:val="center"/>
        <w:rPr/>
      </w:pPr>
      <w:r>
        <w:rPr>
          <w:b/>
          <w:bCs/>
        </w:rPr>
        <w:t xml:space="preserve"> </w:t>
      </w:r>
      <w:r>
        <w:rPr>
          <w:b/>
          <w:bCs/>
          <w:color w:val="000000"/>
        </w:rPr>
        <w:t xml:space="preserve">CUP _______________ Codice Caronte </w:t>
      </w:r>
      <w:r>
        <w:rPr>
          <w:b/>
          <w:bCs/>
        </w:rPr>
        <w:t xml:space="preserve">______________</w:t>
      </w:r>
      <w:r/>
    </w:p>
    <w:p>
      <w:pPr>
        <w:pBdr/>
        <w:spacing w:after="114" w:before="114" w:line="276" w:lineRule="auto"/>
        <w:ind/>
        <w:rPr>
          <w:rFonts w:ascii="Aptos" w:hAnsi="Aptos" w:eastAsia="Aptos" w:cs="Aptos"/>
          <w:color w:val="000000"/>
        </w:rPr>
      </w:pPr>
      <w:r>
        <w:rPr>
          <w:rFonts w:ascii="Aptos" w:hAnsi="Aptos" w:eastAsia="Aptos" w:cs="Aptos"/>
          <w:color w:val="000000"/>
        </w:rPr>
      </w:r>
      <w:r>
        <w:rPr>
          <w:rFonts w:ascii="Aptos" w:hAnsi="Aptos" w:eastAsia="Aptos" w:cs="Aptos"/>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b/>
          <w:bCs/>
        </w:rPr>
      </w:pPr>
      <w:r>
        <w:rPr>
          <w:b/>
          <w:bCs/>
        </w:rPr>
      </w:r>
      <w:r>
        <w:rPr>
          <w:b/>
          <w:bCs/>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lo Statuto della Regione Sicilia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b/>
          <w:bCs/>
        </w:rPr>
      </w:pPr>
      <w:r>
        <w:rPr>
          <w:b/>
          <w:bCs/>
        </w:rPr>
        <w:t xml:space="preserve">VISTO</w:t>
      </w:r>
      <w:r>
        <w:rPr>
          <w:b/>
          <w:bCs/>
        </w:rPr>
        <w:tab/>
      </w:r>
      <w:r>
        <w:t xml:space="preserve">il Decreto legislativo 23 giugno 2011 n.118;</w:t>
      </w:r>
      <w:r>
        <w:rPr>
          <w:b/>
          <w:bCs/>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rPr>
          <w:b/>
          <w:bCs/>
        </w:rPr>
        <w:tab/>
      </w:r>
      <w:r>
        <w:t xml:space="preserve">il DPR 28 dicembre 2000, n.445 e </w:t>
      </w:r>
      <w:r>
        <w:t xml:space="preserve">ss.mm.ii</w:t>
      </w:r>
      <w:r>
        <w:t xml:space="preserve">.;</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rPr>
          <w:b/>
          <w:bCs/>
        </w:rPr>
        <w:tab/>
      </w:r>
      <w:r>
        <w:t xml:space="preserve">il Protocollo d'Intesa tra la Regione Siciliana e il Comando regionale della Guardia di Finanza per il coordinamento dei controlli e dello scambio di informazioni in materia di finanziamenti dei Fondi strutturali comunitari;</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rPr>
          <w:b/>
          <w:bCs/>
        </w:rPr>
        <w:tab/>
      </w:r>
      <w:r>
        <w:t xml:space="preserve">la</w:t>
      </w:r>
      <w:r>
        <w:t xml:space="preserve"> Circolare n. 14 del 01/10/2020 dell’Assessorato regionale dell’Economia “Dematerializzazione dei flussi documentali con le Ragionerie Centrali. Nuova versione del modello per la trasmissione degli atti da sottoporre al controllo delle Ragionerie Centrali;</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rPr>
          <w:b/>
          <w:bCs/>
        </w:rPr>
        <w:tab/>
      </w:r>
      <w:r>
        <w:t xml:space="preserve">la Circolare n. 11 del 01/07/2021 dell’Assessorato regionale dell’Eco</w:t>
      </w:r>
      <w:r>
        <w:t xml:space="preserve">nomia “Disposizioni programmatiche e correttive per l’anno 2021, art. 9 della L.R. n.9 del 15 aprile 2021. Legge di stabilità regionale”. Nuova versione del modello “RC_2021” per trasmissione degli atti da sottoporre al controllo delle Ragionerie Centrali;</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rPr>
          <w:b/>
          <w:bCs/>
        </w:rPr>
        <w:tab/>
      </w:r>
      <w:r>
        <w:t xml:space="preserve">la Circolare </w:t>
      </w:r>
      <w:r>
        <w:t xml:space="preserve">n.  9 del 20/06/2022 dell’Assessorato Regionale dell’Economia Dematerializzazione dei flussi documentali con le Ragionerie Centrali, nuova versione del Modello per la trasmissione degli atti da sottoporre al controllo delle Ragionerie Centrali Mod_RC_2022;</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b/>
          <w:bCs/>
        </w:rPr>
      </w:pPr>
      <w:r>
        <w:rPr>
          <w:b/>
          <w:bCs/>
        </w:rPr>
        <w:t xml:space="preserve">VISTA</w:t>
      </w:r>
      <w:r>
        <w:rPr>
          <w:b/>
          <w:bCs/>
        </w:rPr>
        <w:tab/>
      </w:r>
      <w:r>
        <w:t xml:space="preserve">la L.R. n. ________ del ___/____/____, Legge di stabilità regionale</w:t>
      </w:r>
      <w:r>
        <w:rPr>
          <w:b/>
          <w:bCs/>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b/>
          <w:bCs/>
        </w:rPr>
      </w:pPr>
      <w:r>
        <w:rPr>
          <w:b/>
          <w:bCs/>
        </w:rPr>
        <w:t xml:space="preserve">VISTA</w:t>
      </w:r>
      <w:r>
        <w:rPr>
          <w:b/>
          <w:bCs/>
        </w:rPr>
        <w:tab/>
      </w:r>
      <w:r>
        <w:t xml:space="preserve">la L.R. n. ________ del ___/____/____, recante il “Bilancio di previsione della Regione </w:t>
      </w:r>
      <w:r>
        <w:t xml:space="preserve">Siciliana per</w:t>
      </w:r>
      <w:r>
        <w:t xml:space="preserve"> il triennio ________</w:t>
      </w:r>
      <w:r>
        <w:rPr>
          <w:b/>
          <w:bCs/>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il Regolamento UE n. 460/2020 di modifica dei regolamenti su fondi SIE e FESR;</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b/>
          <w:bCs/>
        </w:rPr>
      </w:pPr>
      <w:r>
        <w:rPr>
          <w:b/>
          <w:bCs/>
        </w:rPr>
        <w:t xml:space="preserve">VISTO </w:t>
      </w:r>
      <w:r>
        <w:rPr>
          <w:b/>
          <w:bCs/>
        </w:rPr>
        <w:tab/>
      </w:r>
      <w:r>
        <w:t xml:space="preserve">il Regolamento UE n. 558/2020 di modifica dei regolamenti su fondi SIE e FESR</w:t>
      </w:r>
      <w:r>
        <w:t xml:space="preserve">;</w:t>
      </w:r>
      <w:r>
        <w:rPr>
          <w:b/>
          <w:bCs/>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rPr>
          <w:b/>
          <w:bCs/>
        </w:rPr>
        <w:tab/>
      </w:r>
      <w:r>
        <w:t xml:space="preserve">l’Atto di approvazione CE </w:t>
      </w:r>
      <w:r>
        <w:t xml:space="preserve">C(</w:t>
      </w:r>
      <w:r>
        <w:t xml:space="preserve">2020) 3482 </w:t>
      </w:r>
      <w:r>
        <w:t xml:space="preserve">final</w:t>
      </w:r>
      <w:r>
        <w:t xml:space="preserve"> del 21 maggio 2020;</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b/>
          <w:bCs/>
        </w:rPr>
      </w:pPr>
      <w:r>
        <w:rPr>
          <w:b/>
          <w:bCs/>
        </w:rPr>
        <w:t xml:space="preserve">VISTO</w:t>
      </w:r>
      <w:r>
        <w:rPr>
          <w:b/>
          <w:bCs/>
        </w:rPr>
        <w:tab/>
      </w:r>
      <w:r>
        <w:t xml:space="preserve">l’Accordo di partenariato 2021-2027 tra Italia e Commissione europea relativo al ciclo di programmazione 2021-2027 approvato con Decisione di esecuzione della CE n. C (2022) 4787 del 15</w:t>
      </w:r>
      <w:r>
        <w:t xml:space="preserve"> luglio 2022 e successivamente firmato e adottato il 19 luglio 2022, quale documento di orientamento strategico per la programmazione dei fondi FESR (Fondo europeo per lo sviluppo regionale), FSE+ (Fondo sociale europeo plus), Fondo di Coesione, JTF (Just </w:t>
      </w:r>
      <w:r>
        <w:t xml:space="preserve">transition</w:t>
      </w:r>
      <w:r>
        <w:t xml:space="preserve"> fund) e FEAMPA (Fondo Europeo per gli Affari Marittimi, la Pesca e l'Acquacoltura)</w:t>
      </w:r>
      <w:r>
        <w:rPr>
          <w:b/>
          <w:bCs/>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 </w:t>
      </w:r>
      <w:r>
        <w:rPr>
          <w:b/>
          <w:bCs/>
        </w:rPr>
        <w:tab/>
      </w:r>
      <w:r>
        <w:t xml:space="preserve">la Delibera n. 78 del 22 dicembre 2021 con cui il CIPESS ha approvato la proposta di accordo di </w:t>
      </w:r>
      <w:r>
        <w:t xml:space="preserve">partenariato (AP) per l’Italia di cui al Regolamento (UE) n. 2021/1060 del Parlamento europeo e del Consiglio del 24 giugno 2021 d</w:t>
      </w:r>
      <w:r>
        <w:t xml:space="preserve">i disposizioni comuni (RDC) concernente la programmazione dei Fondi FESR, FSE Plus, JTF e FEAMPA per il periodo di programmazione 2021- 2027, autorizzando il Ministro per il Sud e la Coesione Territoriale all’avvio e alla conduzione del negoziato formale;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b/>
          <w:bCs/>
        </w:rPr>
      </w:pPr>
      <w:r>
        <w:rPr>
          <w:b/>
          <w:bCs/>
        </w:rPr>
        <w:t xml:space="preserve">VISTO </w:t>
      </w:r>
      <w:r>
        <w:rPr>
          <w:b/>
          <w:bCs/>
        </w:rPr>
        <w:tab/>
      </w:r>
      <w:r>
        <w:t xml:space="preserve">il Regolamento (UE) 2021/1060 del Par</w:t>
      </w:r>
      <w:r>
        <w:t xml:space="preserve">lamento Europeo e del Consiglio del 24 giugno 2021 recante le disposizioni comuni applicabili al Fondo europeo di sviluppo regionale, al Fondo sociale europeo Plus, al Fondo di coesione, al Fondo per una transizione giusta, al Fondo europeo per gli affari </w:t>
      </w:r>
      <w:r>
        <w:t xml:space="preserve">marittimi, la pesca e l’acquacoltura, e le regole finanziarie applicabili a tali fondi e al Fondo Asilo, migrazione e integrazione, al Fondo Sicurezza interna e allo Strumento di sostegno finanziario per la gestione delle frontiere e la politica dei visti;</w:t>
      </w:r>
      <w:r>
        <w:rPr>
          <w:b/>
          <w:bCs/>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il Regolamento (UE) 2021/1056 del Parlamento Europeo e del Consiglio del 24 giugno 2021 che istituisce il Fondo per una transizione giusta;</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il Regolamento (UE) 2021/1058 del Parlamento Europeo e del Consiglio del 24 giugno 2021 relativo al Fondo europeo di sviluppo regionale e al Fondo di coesione;</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il Regolamento (UE) 2023/435 Parlamento Europeo e del Consiglio del 27 febbraio 2023 che modifica il regolamento (UE) 2021/241 per quanto riguarda l'inserimento di capitoli dedicati al piano </w:t>
      </w:r>
      <w:r>
        <w:t xml:space="preserve">REPowerEU</w:t>
      </w:r>
      <w:r>
        <w:t xml:space="preserve"> nei piani per la ripresa e la resilienza e che modifica i regolamenti (UE) n. 1303/2013, (UE) 2021/1060 e (UE) 2021/1755, e la direttiva 2003/87/CE;</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il Regolamento (UE) 2024/</w:t>
      </w:r>
      <w:r>
        <w:t xml:space="preserve">3236 del</w:t>
      </w:r>
      <w:r>
        <w:t xml:space="preserve"> Parlamento Europeo e del Consiglio del 19 dicembre 2024 che modifica i regolamenti (UE) 2021/1057 e (UE) 2021/1058 per quanto riguarda il sostegno regionale di emergenza per la ricostruzione (RESTORE);</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rPr>
          <w:b/>
          <w:bCs/>
        </w:rPr>
        <w:tab/>
      </w:r>
      <w:r>
        <w:t xml:space="preserve">il R</w:t>
      </w:r>
      <w:r>
        <w:t xml:space="preserve">egolamento (UE) 2025/1914 del Parlamento europeo e del Consiglio del 18 settembre 2025 che modifica, tra gli altri, il regolamento (UE) 2021/1058 per quanto riguarda misure specifiche per affrontare le sfide strategiche nel contesto del riesame intermedio;</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il Regolamento (UE) 2020/852 del Parlamento europeo e del Consiglio del 18 giugno 2020 “Tassonomia per la finanza sostenibile”, che introduce il principio DNSH – Do No </w:t>
      </w:r>
      <w:r>
        <w:t xml:space="preserve">Significant</w:t>
      </w:r>
      <w:r>
        <w:t xml:space="preserve"> </w:t>
      </w:r>
      <w:r>
        <w:t xml:space="preserve">Harm</w:t>
      </w:r>
      <w:r>
        <w:t xml:space="preserve">;</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il Regolamento (UE) 2017/1084 della Commissione del 14 giugno 2017 che modifica il regolamento (UE</w:t>
      </w:r>
      <w:r>
        <w:t xml:space="preserve">) n. 651/2014 e s-m-i- per quanto riguarda gli aiuti alle infrastrutture portuali e aeroportuali, le soglie di notifica applicabili agli aiuti alla cultura e alla conservazione del patrimonio e agli aiuti alle infrastrutture sportive e alle infrastrutture </w:t>
      </w:r>
      <w:r>
        <w:t xml:space="preserve">ricreative multifunzionali, nonché i regimi di aiuti a finalità regionale al funzionamento nelle regioni ultraperiferiche, e modifica il regolamento (UE) n. 702/2014 per quanto riguarda il calcolo dei costi ammissibili; (se si tratta di aiuto in esenzione)</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 </w:t>
      </w:r>
      <w:r>
        <w:rPr>
          <w:b/>
          <w:bCs/>
        </w:rPr>
        <w:tab/>
      </w:r>
      <w:r>
        <w:t xml:space="preserve">il Regolamento (UE) n. 2023/2831 della Commissione del 13 dicembre 2023 relativo all’applicazione degli articoli 107 e 108 del trattato sul funzionamento dell’Unione europea agli aiuti de </w:t>
      </w:r>
      <w:r>
        <w:t xml:space="preserve">minimis</w:t>
      </w:r>
      <w:r>
        <w:t xml:space="preserve">; (se si tratta di aiuto in de </w:t>
      </w:r>
      <w:r>
        <w:t xml:space="preserve">minimis</w:t>
      </w:r>
      <w:r>
        <w:t xml:space="preserve">)</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rPr>
          <w:b/>
          <w:bCs/>
        </w:rPr>
        <w:tab/>
      </w:r>
      <w:r>
        <w:t xml:space="preserve">il </w:t>
      </w:r>
      <w:r>
        <w:t xml:space="preserve">D.Lgs.</w:t>
      </w:r>
      <w:r>
        <w:t xml:space="preserve"> 18-4-2016 n. 50, “Codice dei contratti pubblici”, e successive modificazione e integrazioni.</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rPr>
          <w:b/>
          <w:bCs/>
        </w:rPr>
        <w:tab/>
      </w:r>
      <w:r>
        <w:t xml:space="preserve">Il DPR 10 marzo 2025, n. 66 “Reg</w:t>
      </w:r>
      <w:r>
        <w:t xml:space="preserve">olamento recante i criteri sull'ammissibilità della spesa per i programmi cofinanziati dai fondi per la politica di coesione e dagli altri fondi europei a gestione concorrente di cui al Regolamento (UE) 2021/1060 per il periodo di programmazione 2021/2027”</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rPr>
          <w:b/>
          <w:bCs/>
        </w:rPr>
        <w:tab/>
      </w:r>
      <w:r>
        <w:t xml:space="preserve">Il D.L. 16 luglio 2020, n. 76, recante «Misure urgenti per la semplificazione e l’innovazione digitali» (Decreto Semplificazioni) </w:t>
      </w:r>
      <w:r>
        <w:t xml:space="preserve">conv</w:t>
      </w:r>
      <w:r>
        <w:t xml:space="preserve">. con L. 11 settembre 2020, n. 120;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tab/>
        <w:t xml:space="preserve">Il D.L. 31 maggio 2021, n. 77, recante governance del Piano nazionale di Ripresa e Resilienza e prime misure di rafforzamento delle strutture amministrative e di accelerazione e snellimento delle procedure </w:t>
      </w:r>
      <w:r>
        <w:t xml:space="preserve">conv</w:t>
      </w:r>
      <w:r>
        <w:t xml:space="preserve">. con L. 29 luglio 2021, n. 108;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tab/>
        <w:t xml:space="preserve">il D.L.17 maggio 2022, n. 50, </w:t>
      </w:r>
      <w:r>
        <w:t xml:space="preserve">conv</w:t>
      </w:r>
      <w:r>
        <w:t xml:space="preserve">. con L. 15 luglio 2022, n. 91;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VISTO</w:t>
      </w:r>
      <w:r>
        <w:tab/>
        <w:t xml:space="preserve">Il D. Lgs. 31 marzo 2023, n. 36 Codice dei contratti pubblici in attuazione dell'articolo 1 della legge 21 giugno 2022, n. 78, recante delega al Governo in materia di contratti pubblici;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ab/>
        <w:t xml:space="preserve">la Legge Regione Siciliana 5 aprile 2011 n. 5 – Disposizioni per la trasparenza, la semplificazione, l’efficienza, l’informatizzazione della pubblica amministrazione e l’agevolazione delle iniziative </w:t>
      </w:r>
      <w:r>
        <w:t xml:space="preserve">economiche. Disposizioni per il contrasto alla corruzione ed alla criminalità organizzata di stampo mafioso. Disposizioni per il riordino e la semplificazione della legislazione regionale;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ab/>
        <w:t xml:space="preserve">la Legge Regione Sicilia 21 maggio 2019, n. 7 “Disposizioni per i procedimenti amministrativi e la funzionalità dell’azione amministrativa”;</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 xml:space="preserve"> </w:t>
      </w:r>
      <w:r>
        <w:tab/>
        <w:t xml:space="preserve">la Deliberazione n. 102 del 15 febbraio 2023 con la quale la Giunta regionale ha adottato il Programma Regionale FESR Sicilia 2021/2027, approvato dalla Commissione Europea con Decisione </w:t>
      </w:r>
      <w:r>
        <w:t xml:space="preserve">C(</w:t>
      </w:r>
      <w:r>
        <w:t xml:space="preserve">2022)9366 dell'8 dicembre 2022;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 xml:space="preserve"> </w:t>
      </w:r>
      <w:r>
        <w:tab/>
        <w:t xml:space="preserve">la Decisione </w:t>
      </w:r>
      <w:r>
        <w:t xml:space="preserve">C(</w:t>
      </w:r>
      <w:r>
        <w:t xml:space="preserve">2022)9366 dell'8 dicembre 2022, con cui la Commissione UE ha approvato il Programma Regionale FESR Sicilia 2021/2027;</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 xml:space="preserve"> </w:t>
      </w:r>
      <w:r>
        <w:tab/>
      </w:r>
      <w:r>
        <w:t xml:space="preserve">la Deliberazione della Giunta regionale 14 novembre 2024, n. 358: 'Programma Regionale FESR Sicilia 2021/2027. Decisione della Commissione </w:t>
      </w:r>
      <w:r>
        <w:t xml:space="preserve">C(</w:t>
      </w:r>
      <w:r>
        <w:t xml:space="preserve">2024)7098 </w:t>
      </w:r>
      <w:r>
        <w:t xml:space="preserve">final</w:t>
      </w:r>
      <w:r>
        <w:t xml:space="preserve"> dell'8 ottobre 2024. Adozione definitiva;</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 xml:space="preserve">  </w:t>
      </w:r>
      <w:r>
        <w:tab/>
      </w:r>
      <w:r>
        <w:t xml:space="preserve">la Deliberazione della Giunta Regio</w:t>
      </w:r>
      <w:r>
        <w:t xml:space="preserve">nale n. 211 del 08 luglio 2025, con la quale la Giunta regionale di Governo ha apprezzato la proposta di riprogrammazione del PR FESR Sicilia 2021/2027 in applicazione del Regolamento (UE) 2024/3236 del Parlamento europeo e del Consiglio 19 dicembre 2024;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 xml:space="preserve"> </w:t>
      </w:r>
      <w:r>
        <w:tab/>
      </w:r>
      <w:r>
        <w:t xml:space="preserve">la Decisione di esecuzione della Commissione Europea </w:t>
      </w:r>
      <w:r>
        <w:t xml:space="preserve">C(</w:t>
      </w:r>
      <w:r>
        <w:t xml:space="preserve">2025)6205 </w:t>
      </w:r>
      <w:r>
        <w:t xml:space="preserve">final</w:t>
      </w:r>
      <w:r>
        <w:t xml:space="preserve"> del 09 settembre 2025 con la quale è stata approvata la modifica della Decisione di esecuzione C(2024) 7098 dell'8 ottobre 2024;</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ab/>
        <w:t xml:space="preserve">la Deliberazione n. 133 del 30 marzo 2023. “Programma Regionale FESR Sicilia 2021/2027. Decisione della Commissione </w:t>
      </w:r>
      <w:r>
        <w:t xml:space="preserve">C(</w:t>
      </w:r>
      <w:r>
        <w:t xml:space="preserve">2022)9366 dell'8 dicembre 2022. Comitato di Sorveglianza”.;</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ab/>
        <w:t xml:space="preserve">la Deliberazione n. 171 del 26 aprile 2023. “Programma Regionale FESR Sicilia 2021/2027. Documento 'Metodologia e criteri di selezione delle operazioni'” e </w:t>
      </w:r>
      <w:r>
        <w:t xml:space="preserve">ss.mm.ii</w:t>
      </w:r>
      <w:r>
        <w:t xml:space="preserve">.; </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ab/>
        <w:t xml:space="preserve">la Deliberazione n. 253 del 19 giugno 2023. “Approvazione disegno di legge: Recepimento del nuovo codice dei contratti pubblici”</w:t>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pPr>
      <w:r>
        <w:rPr>
          <w:b/>
          <w:bCs/>
        </w:rPr>
        <w:t xml:space="preserve">VISTA</w:t>
      </w:r>
      <w:r>
        <w:tab/>
        <w:t xml:space="preserve">la Deliberazione di Giunta n. 406 del 26/10/2023 avente per oggetto “Programma Regionale FESR Sicilia 2021-2027. Individuazione Centri di Responsabilità ed allocazione delle risorse finanziarie” - Approvazione;</w:t>
      </w:r>
      <w:r>
        <w:tab/>
      </w: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right="-57" w:hanging="1020" w:left="1020"/>
        <w:jc w:val="both"/>
        <w:rPr>
          <w:color w:val="000000"/>
        </w:rPr>
      </w:pPr>
      <w:r>
        <w:rPr>
          <w:b/>
          <w:bCs/>
          <w:color w:val="000000"/>
        </w:rPr>
        <w:t xml:space="preserve">VISTO</w:t>
      </w:r>
      <w:r>
        <w:rPr>
          <w:color w:val="000000"/>
        </w:rPr>
        <w:tab/>
        <w:t xml:space="preserve">il D.D.G. n._____________ del ________________con il quale è stato approvato l’Avviso Pubblico per la presentazione degli interventi da finanziare a valere sulle risorse PR FESR Sicilia 2021/2027 Azione 4.5.1 “</w:t>
      </w:r>
      <w:r>
        <w:rPr>
          <w:i/>
          <w:iCs/>
          <w:color w:val="000000"/>
        </w:rPr>
        <w:t xml:space="preserve">Favorire la riorganizzazione e qualificazione dei servizi sanitari territoriali e per il long </w:t>
      </w:r>
      <w:r>
        <w:rPr>
          <w:i/>
          <w:iCs/>
          <w:color w:val="000000"/>
        </w:rPr>
        <w:t xml:space="preserve">term</w:t>
      </w:r>
      <w:r>
        <w:rPr>
          <w:i/>
          <w:iCs/>
          <w:color w:val="000000"/>
        </w:rPr>
        <w:t xml:space="preserve"> care al fine di ridurre le diseguaglianze nell’accesso e i divari nel territorio</w:t>
      </w:r>
      <w:r>
        <w:rPr>
          <w:color w:val="000000"/>
        </w:rPr>
        <w:t xml:space="preserve">”;</w:t>
      </w:r>
      <w:r>
        <w:rPr>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018"/>
          <w:tab w:val="right" w:leader="none" w:pos="9643"/>
        </w:tabs>
        <w:spacing w:line="276" w:lineRule="auto"/>
        <w:ind w:hanging="1020" w:left="1020"/>
        <w:jc w:val="both"/>
        <w:rPr>
          <w:b/>
          <w:bCs/>
          <w:color w:val="000000"/>
        </w:rPr>
      </w:pPr>
      <w:r>
        <w:rPr>
          <w:b/>
          <w:bCs/>
          <w:color w:val="000000"/>
        </w:rPr>
        <w:t xml:space="preserve">VISTO</w:t>
      </w:r>
      <w:r>
        <w:rPr>
          <w:b/>
          <w:bCs/>
          <w:color w:val="000000"/>
        </w:rPr>
        <w:tab/>
      </w:r>
      <w:r>
        <w:rPr>
          <w:color w:val="000000"/>
        </w:rPr>
        <w:t xml:space="preserve">il D.D.G. n.1112 del 16/10/2024 con il quale è stato approvato la “Pista di Controllo” afferente alle Operazioni a Regia dell’Azione 4.5.1. “</w:t>
      </w:r>
      <w:r>
        <w:rPr>
          <w:i/>
          <w:iCs/>
          <w:color w:val="000000"/>
        </w:rPr>
        <w:t xml:space="preserve">Favorire la riorganizzazione e qualificazione dei servizi sanitari territoriali e per il long </w:t>
      </w:r>
      <w:r>
        <w:rPr>
          <w:i/>
          <w:iCs/>
          <w:color w:val="000000"/>
        </w:rPr>
        <w:t xml:space="preserve">term</w:t>
      </w:r>
      <w:r>
        <w:rPr>
          <w:i/>
          <w:iCs/>
          <w:color w:val="000000"/>
        </w:rPr>
        <w:t xml:space="preserve"> care al fine di ridurre le diseguaglianze nell’accesso e i divari nel territorio</w:t>
      </w:r>
      <w:r>
        <w:rPr>
          <w:color w:val="000000"/>
        </w:rPr>
        <w:t xml:space="preserve">”;</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before="128" w:line="276" w:lineRule="auto"/>
        <w:ind w:right="-20" w:hanging="1020" w:left="1020"/>
        <w:jc w:val="both"/>
        <w:rPr>
          <w:color w:val="000000"/>
        </w:rPr>
      </w:pPr>
      <w:r>
        <w:rPr>
          <w:b/>
          <w:bCs/>
          <w:color w:val="000000"/>
        </w:rPr>
        <w:t xml:space="preserve">VISTO</w:t>
      </w:r>
      <w:r>
        <w:rPr>
          <w:color w:val="000000"/>
        </w:rPr>
        <w:tab/>
        <w:t xml:space="preserve">il D.R.S. n. ____________del 16/10/2024 con cui si è provveduto all’accertamento poliennale negli esercizi finanziari 2025/2026/2027 della somma complessiva di € </w:t>
      </w:r>
      <w:r>
        <w:rPr>
          <w:b/>
          <w:bCs/>
          <w:color w:val="000000"/>
        </w:rPr>
        <w:t xml:space="preserve">_____________ </w:t>
      </w:r>
      <w:r>
        <w:rPr>
          <w:color w:val="000000"/>
        </w:rPr>
        <w:t xml:space="preserve">necessaria per la copertura </w:t>
      </w:r>
      <w:r>
        <w:rPr>
          <w:color w:val="000000"/>
        </w:rPr>
        <w:tab/>
        <w:t xml:space="preserve">      finanziaria dell’avviso azione </w:t>
      </w:r>
      <w:r>
        <w:rPr>
          <w:color w:val="000000"/>
        </w:rPr>
        <w:t xml:space="preserve">4.5.1 a</w:t>
      </w:r>
      <w:r>
        <w:rPr>
          <w:color w:val="000000"/>
        </w:rPr>
        <w:t xml:space="preserve"> valere sui capitoli di entrata:</w:t>
      </w:r>
      <w:r>
        <w:rPr>
          <w:color w:val="000000"/>
        </w:rPr>
      </w:r>
    </w:p>
    <w:p>
      <w:pPr>
        <w:pStyle w:val="825"/>
        <w:numPr>
          <w:ilvl w:val="0"/>
          <w:numId w:val="4"/>
        </w:numPr>
        <w:pBdr>
          <w:top w:val="none" w:color="000000" w:sz="0" w:space="0"/>
          <w:left w:val="none" w:color="000000" w:sz="0" w:space="0"/>
          <w:bottom w:val="none" w:color="000000" w:sz="0" w:space="0"/>
          <w:right w:val="none" w:color="000000" w:sz="0" w:space="0"/>
          <w:between w:val="none" w:color="000000" w:sz="0" w:space="0"/>
        </w:pBdr>
        <w:spacing w:before="128" w:line="276" w:lineRule="auto"/>
        <w:ind w:right="-20" w:left="1418"/>
        <w:rPr/>
      </w:pPr>
      <w:r>
        <w:t xml:space="preserve">8457 “Assegnazioni dell’Unione Europea per la realizzazione del PR Sicilia FESR 2021/2027 Priorità 005 “Una Sicilia più inclusiva” Risorse non territorializzate Azioni 4.5.1” </w:t>
      </w:r>
      <w:r/>
    </w:p>
    <w:p>
      <w:pPr>
        <w:pStyle w:val="825"/>
        <w:numPr>
          <w:ilvl w:val="0"/>
          <w:numId w:val="4"/>
        </w:numPr>
        <w:pBdr>
          <w:top w:val="none" w:color="000000" w:sz="0" w:space="0"/>
          <w:left w:val="none" w:color="000000" w:sz="0" w:space="0"/>
          <w:bottom w:val="none" w:color="000000" w:sz="0" w:space="0"/>
          <w:right w:val="none" w:color="000000" w:sz="0" w:space="0"/>
          <w:between w:val="none" w:color="000000" w:sz="0" w:space="0"/>
        </w:pBdr>
        <w:spacing w:before="128" w:line="276" w:lineRule="auto"/>
        <w:ind w:right="-20" w:left="1418"/>
        <w:rPr>
          <w:color w:val="000000"/>
        </w:rPr>
      </w:pPr>
      <w:r>
        <w:t xml:space="preserve">8458 “Assegnazioni dello Stato per la realizzazione del PR Sicilia FESR 2021/2027 Priorità 005 “Una Sicilia più inclusiva” Risorse non territorializzate Azione 4.5.1”;</w:t>
      </w:r>
      <w:r>
        <w:rPr>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791"/>
        </w:tabs>
        <w:spacing w:line="276" w:lineRule="auto"/>
        <w:ind w:hanging="1020" w:left="1020"/>
        <w:jc w:val="both"/>
        <w:rPr>
          <w:color w:val="000000"/>
        </w:rPr>
      </w:pPr>
      <w:r>
        <w:rPr>
          <w:b/>
          <w:bCs/>
          <w:color w:val="000000"/>
        </w:rPr>
        <w:t xml:space="preserve">VISTA</w:t>
      </w:r>
      <w:r>
        <w:rPr>
          <w:color w:val="000000"/>
        </w:rPr>
        <w:tab/>
        <w:t xml:space="preserve">la deliberazione della Giunta regionale n. 358 del 14/11/2024 “</w:t>
      </w:r>
      <w:r>
        <w:rPr>
          <w:i/>
          <w:iCs/>
          <w:color w:val="000000"/>
        </w:rPr>
        <w:t xml:space="preserve">Programma regionale FESR Sicilia 2021/2027. Decisione della Commissione C (2024) 7098 finale dell’8 ottobre 2024. Adozione definitiva</w:t>
      </w:r>
      <w:r>
        <w:rPr>
          <w:color w:val="000000"/>
        </w:rPr>
        <w:t xml:space="preserve">”;</w:t>
      </w:r>
      <w:r>
        <w:rPr>
          <w:color w:val="000000"/>
        </w:rPr>
      </w:r>
    </w:p>
    <w:p>
      <w:pPr>
        <w:pBdr/>
        <w:spacing w:line="276" w:lineRule="auto"/>
        <w:ind w:right="-6" w:hanging="992" w:left="992"/>
        <w:jc w:val="both"/>
        <w:rPr>
          <w:highlight w:val="white"/>
        </w:rPr>
      </w:pPr>
      <w:r>
        <w:rPr>
          <w:b/>
          <w:bCs/>
          <w:highlight w:val="white"/>
        </w:rPr>
        <w:t xml:space="preserve">VISTO</w:t>
      </w:r>
      <w:r>
        <w:rPr>
          <w:highlight w:val="white"/>
        </w:rPr>
        <w:tab/>
      </w:r>
      <w:r>
        <w:rPr>
          <w:highlight w:val="white"/>
        </w:rPr>
        <w:t xml:space="preserve">il D.R.S. n. _________del ____________ con il quale è stata impegnata la somma complessiva di euro _________________ per risorse non territorializzate sul capitolo di spesa 812035 “Spese in conto capitale per contributi agli investimenti a valere del PR Si</w:t>
      </w:r>
      <w:r>
        <w:rPr>
          <w:highlight w:val="white"/>
        </w:rPr>
        <w:t xml:space="preserve">cilia FESR 2021/2027 Azione 4.5.1. - Priorità 005 - Una Sicilia più inclusiva” risorse non territorializzate” – codice finanziario U.02.03.01.02.011 – in favore delle aziende provinciali destinatarie delle risorse di cui all’Avviso Pubblico Azione 4.5.1. “</w:t>
      </w:r>
      <w:r>
        <w:rPr>
          <w:i/>
          <w:iCs/>
          <w:highlight w:val="white"/>
        </w:rPr>
        <w:t xml:space="preserve">Favorire la </w:t>
      </w:r>
      <w:r>
        <w:rPr>
          <w:i/>
          <w:iCs/>
          <w:highlight w:val="white"/>
        </w:rPr>
        <w:t xml:space="preserve">riorganizzazione e qualificazione dei servizi sanitari territoriali e per il long </w:t>
      </w:r>
      <w:r>
        <w:rPr>
          <w:i/>
          <w:iCs/>
          <w:highlight w:val="white"/>
        </w:rPr>
        <w:t xml:space="preserve">term</w:t>
      </w:r>
      <w:r>
        <w:rPr>
          <w:i/>
          <w:iCs/>
          <w:highlight w:val="white"/>
        </w:rPr>
        <w:t xml:space="preserve"> care al fine di ridurre le disuguaglianze nell’accesso e i divari nel territorio</w:t>
      </w:r>
      <w:r>
        <w:rPr>
          <w:highlight w:val="white"/>
        </w:rPr>
        <w:t xml:space="preserve">” (PRATT ___________), per gli esercizi finanziari </w:t>
      </w:r>
      <w:r>
        <w:rPr>
          <w:highlight w:val="white"/>
        </w:rPr>
      </w:r>
    </w:p>
    <w:tbl>
      <w:tblPr>
        <w:tblStyle w:val="826"/>
        <w:tblW w:w="9156" w:type="dxa"/>
        <w:jc w:val="center"/>
        <w:tblBorders/>
        <w:tblLayout w:type="fixed"/>
        <w:tblLook w:val="0400" w:firstRow="0" w:lastRow="0" w:firstColumn="0" w:lastColumn="0" w:noHBand="0" w:noVBand="1"/>
      </w:tblPr>
      <w:tblGrid>
        <w:gridCol w:w="1654"/>
        <w:gridCol w:w="1810"/>
        <w:gridCol w:w="1915"/>
        <w:gridCol w:w="1880"/>
        <w:gridCol w:w="1897"/>
      </w:tblGrid>
      <w:tr>
        <w:trPr>
          <w:jc w:val="center"/>
          <w:trHeight w:val="690"/>
        </w:trPr>
        <w:tc>
          <w:tcPr>
            <w:shd w:val="clear" w:color="ffffff" w:fill="ffffff"/>
            <w:tcBorders>
              <w:top w:val="single" w:color="000000" w:sz="4" w:space="0"/>
              <w:left w:val="single" w:color="000000" w:sz="4" w:space="0"/>
              <w:bottom w:val="single" w:color="000000" w:sz="4" w:space="0"/>
              <w:right w:val="single" w:color="000000" w:sz="4" w:space="0"/>
            </w:tcBorders>
            <w:tcW w:w="1654" w:type="dxa"/>
            <w:textDirection w:val="lrTb"/>
            <w:noWrap w:val="false"/>
          </w:tcPr>
          <w:p>
            <w:pPr>
              <w:pBdr/>
              <w:spacing w:line="276" w:lineRule="auto"/>
              <w:ind/>
              <w:rPr>
                <w:b/>
                <w:bCs/>
                <w:color w:val="000000"/>
                <w:sz w:val="22"/>
                <w:szCs w:val="22"/>
                <w:highlight w:val="white"/>
              </w:rPr>
            </w:pPr>
            <w:r>
              <w:rPr>
                <w:b/>
                <w:bCs/>
                <w:color w:val="080808"/>
                <w:sz w:val="22"/>
                <w:szCs w:val="22"/>
                <w:highlight w:val="white"/>
              </w:rPr>
              <w:t xml:space="preserve">Impegno </w:t>
            </w:r>
            <w:r>
              <w:rPr>
                <w:b/>
                <w:bCs/>
                <w:color w:val="1c1a1c"/>
                <w:sz w:val="22"/>
                <w:szCs w:val="22"/>
                <w:highlight w:val="white"/>
              </w:rPr>
              <w:t xml:space="preserve">E.F.</w:t>
            </w:r>
            <w:r>
              <w:rPr>
                <w:b/>
                <w:bCs/>
                <w:color w:val="1c1a1c"/>
                <w:sz w:val="22"/>
                <w:szCs w:val="22"/>
                <w:highlight w:val="white"/>
              </w:rPr>
              <w:br/>
            </w:r>
            <w:r>
              <w:rPr>
                <w:b/>
                <w:bCs/>
                <w:color w:val="080808"/>
                <w:sz w:val="22"/>
                <w:szCs w:val="22"/>
                <w:highlight w:val="white"/>
              </w:rPr>
              <w:t xml:space="preserve">XXX</w:t>
            </w:r>
            <w:r>
              <w:rPr>
                <w:b/>
                <w:bCs/>
                <w:color w:val="000000"/>
                <w:sz w:val="22"/>
                <w:szCs w:val="22"/>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810" w:type="dxa"/>
            <w:textDirection w:val="lrTb"/>
            <w:noWrap w:val="false"/>
          </w:tcPr>
          <w:p>
            <w:pPr>
              <w:pBdr/>
              <w:spacing w:line="276" w:lineRule="auto"/>
              <w:ind/>
              <w:rPr>
                <w:b/>
                <w:bCs/>
                <w:color w:val="000000"/>
                <w:sz w:val="22"/>
                <w:szCs w:val="22"/>
                <w:highlight w:val="white"/>
              </w:rPr>
            </w:pPr>
            <w:r>
              <w:rPr>
                <w:b/>
                <w:bCs/>
                <w:color w:val="080808"/>
                <w:sz w:val="22"/>
                <w:szCs w:val="22"/>
                <w:highlight w:val="white"/>
              </w:rPr>
              <w:t xml:space="preserve">Impegno </w:t>
            </w:r>
            <w:r>
              <w:rPr>
                <w:b/>
                <w:bCs/>
                <w:color w:val="1c1a1c"/>
                <w:sz w:val="22"/>
                <w:szCs w:val="22"/>
                <w:highlight w:val="white"/>
              </w:rPr>
              <w:t xml:space="preserve">E.F.</w:t>
            </w:r>
            <w:r>
              <w:rPr>
                <w:b/>
                <w:bCs/>
                <w:color w:val="1c1a1c"/>
                <w:sz w:val="22"/>
                <w:szCs w:val="22"/>
                <w:highlight w:val="white"/>
              </w:rPr>
              <w:br/>
            </w:r>
            <w:r>
              <w:rPr>
                <w:b/>
                <w:bCs/>
                <w:color w:val="080808"/>
                <w:sz w:val="22"/>
                <w:szCs w:val="22"/>
                <w:highlight w:val="white"/>
              </w:rPr>
              <w:t xml:space="preserve">XXX</w:t>
            </w:r>
            <w:r>
              <w:rPr>
                <w:b/>
                <w:bCs/>
                <w:color w:val="000000"/>
                <w:sz w:val="22"/>
                <w:szCs w:val="22"/>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915" w:type="dxa"/>
            <w:textDirection w:val="lrTb"/>
            <w:noWrap w:val="false"/>
          </w:tcPr>
          <w:p>
            <w:pPr>
              <w:pBdr/>
              <w:spacing w:line="276" w:lineRule="auto"/>
              <w:ind/>
              <w:rPr>
                <w:b/>
                <w:bCs/>
                <w:color w:val="000000"/>
                <w:sz w:val="22"/>
                <w:szCs w:val="22"/>
                <w:highlight w:val="white"/>
              </w:rPr>
            </w:pPr>
            <w:r>
              <w:rPr>
                <w:b/>
                <w:bCs/>
                <w:color w:val="080808"/>
                <w:sz w:val="22"/>
                <w:szCs w:val="22"/>
                <w:highlight w:val="white"/>
              </w:rPr>
              <w:t xml:space="preserve">Impegno </w:t>
            </w:r>
            <w:r>
              <w:rPr>
                <w:b/>
                <w:bCs/>
                <w:color w:val="1c1a1c"/>
                <w:sz w:val="22"/>
                <w:szCs w:val="22"/>
                <w:highlight w:val="white"/>
              </w:rPr>
              <w:t xml:space="preserve">E.F.</w:t>
            </w:r>
            <w:r>
              <w:rPr>
                <w:b/>
                <w:bCs/>
                <w:color w:val="1c1a1c"/>
                <w:sz w:val="22"/>
                <w:szCs w:val="22"/>
                <w:highlight w:val="white"/>
              </w:rPr>
              <w:br/>
            </w:r>
            <w:r>
              <w:rPr>
                <w:b/>
                <w:bCs/>
                <w:color w:val="080808"/>
                <w:sz w:val="22"/>
                <w:szCs w:val="22"/>
                <w:highlight w:val="white"/>
              </w:rPr>
              <w:t xml:space="preserve">XXXX</w:t>
            </w:r>
            <w:r>
              <w:rPr>
                <w:b/>
                <w:bCs/>
                <w:color w:val="000000"/>
                <w:sz w:val="22"/>
                <w:szCs w:val="22"/>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880" w:type="dxa"/>
            <w:textDirection w:val="lrTb"/>
            <w:noWrap w:val="false"/>
          </w:tcPr>
          <w:p>
            <w:pPr>
              <w:pBdr/>
              <w:spacing w:line="276" w:lineRule="auto"/>
              <w:ind/>
              <w:rPr>
                <w:b/>
                <w:bCs/>
                <w:color w:val="000000"/>
                <w:sz w:val="22"/>
                <w:szCs w:val="22"/>
                <w:highlight w:val="white"/>
              </w:rPr>
            </w:pPr>
            <w:r>
              <w:rPr>
                <w:b/>
                <w:bCs/>
                <w:color w:val="080808"/>
                <w:sz w:val="22"/>
                <w:szCs w:val="22"/>
                <w:highlight w:val="white"/>
              </w:rPr>
              <w:t xml:space="preserve">Impegno </w:t>
            </w:r>
            <w:r>
              <w:rPr>
                <w:b/>
                <w:bCs/>
                <w:color w:val="1c1a1c"/>
                <w:sz w:val="22"/>
                <w:szCs w:val="22"/>
                <w:highlight w:val="white"/>
              </w:rPr>
              <w:t xml:space="preserve">E.F.</w:t>
            </w:r>
            <w:r>
              <w:rPr>
                <w:b/>
                <w:bCs/>
                <w:color w:val="1c1a1c"/>
                <w:sz w:val="22"/>
                <w:szCs w:val="22"/>
                <w:highlight w:val="white"/>
              </w:rPr>
              <w:br/>
            </w:r>
            <w:r>
              <w:rPr>
                <w:b/>
                <w:bCs/>
                <w:color w:val="080808"/>
                <w:sz w:val="22"/>
                <w:szCs w:val="22"/>
                <w:highlight w:val="white"/>
              </w:rPr>
              <w:t xml:space="preserve">XXX</w:t>
            </w:r>
            <w:r>
              <w:rPr>
                <w:b/>
                <w:bCs/>
                <w:color w:val="000000"/>
                <w:sz w:val="22"/>
                <w:szCs w:val="22"/>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897" w:type="dxa"/>
            <w:textDirection w:val="lrTb"/>
            <w:noWrap w:val="false"/>
          </w:tcPr>
          <w:p>
            <w:pPr>
              <w:pBdr/>
              <w:spacing w:line="276" w:lineRule="auto"/>
              <w:ind/>
              <w:rPr>
                <w:b/>
                <w:bCs/>
                <w:sz w:val="22"/>
                <w:szCs w:val="22"/>
                <w:highlight w:val="white"/>
              </w:rPr>
            </w:pPr>
            <w:r>
              <w:rPr>
                <w:b/>
                <w:bCs/>
                <w:color w:val="1c1a1c"/>
                <w:sz w:val="22"/>
                <w:szCs w:val="22"/>
                <w:highlight w:val="white"/>
              </w:rPr>
              <w:t xml:space="preserve">TOTALE</w:t>
            </w:r>
            <w:r>
              <w:rPr>
                <w:b/>
                <w:bCs/>
                <w:sz w:val="22"/>
                <w:szCs w:val="22"/>
                <w:highlight w:val="white"/>
              </w:rPr>
            </w:r>
          </w:p>
        </w:tc>
      </w:tr>
      <w:tr>
        <w:trPr>
          <w:jc w:val="center"/>
          <w:trHeight w:val="690"/>
        </w:trPr>
        <w:tc>
          <w:tcPr>
            <w:shd w:val="clear" w:color="ffffff" w:fill="ffffff"/>
            <w:tcBorders>
              <w:top w:val="single" w:color="000000" w:sz="4" w:space="0"/>
              <w:left w:val="single" w:color="000000" w:sz="4" w:space="0"/>
              <w:bottom w:val="single" w:color="000000" w:sz="4" w:space="0"/>
              <w:right w:val="single" w:color="000000" w:sz="4" w:space="0"/>
            </w:tcBorders>
            <w:tcW w:w="1654" w:type="dxa"/>
            <w:textDirection w:val="lrTb"/>
            <w:noWrap w:val="false"/>
          </w:tcPr>
          <w:p>
            <w:pPr>
              <w:pBdr/>
              <w:spacing w:line="276" w:lineRule="auto"/>
              <w:ind/>
              <w:rPr>
                <w:color w:val="1c1a1c"/>
                <w:sz w:val="22"/>
                <w:szCs w:val="22"/>
                <w:highlight w:val="white"/>
              </w:rPr>
            </w:pPr>
            <w:r>
              <w:rPr>
                <w:color w:val="1c1a1c"/>
                <w:sz w:val="22"/>
                <w:szCs w:val="22"/>
                <w:highlight w:val="white"/>
              </w:rPr>
              <w:t xml:space="preserve">€ 0,00</w:t>
            </w:r>
            <w:r>
              <w:rPr>
                <w:color w:val="1c1a1c"/>
                <w:sz w:val="22"/>
                <w:szCs w:val="22"/>
                <w:highlight w:val="white"/>
              </w:rPr>
            </w:r>
          </w:p>
        </w:tc>
        <w:tc>
          <w:tcPr>
            <w:shd w:val="clear" w:color="ffffff" w:fill="ffffff"/>
            <w:tcBorders>
              <w:top w:val="single" w:color="000000" w:sz="4" w:space="0"/>
              <w:left w:val="single" w:color="000000" w:sz="4" w:space="0"/>
              <w:bottom w:val="single" w:color="000000" w:sz="4" w:space="0"/>
              <w:right w:val="single" w:color="000000" w:sz="4" w:space="0"/>
            </w:tcBorders>
            <w:tcW w:w="1810" w:type="dxa"/>
            <w:textDirection w:val="lrTb"/>
            <w:noWrap w:val="false"/>
          </w:tcPr>
          <w:p>
            <w:pPr>
              <w:pBdr/>
              <w:spacing w:line="276" w:lineRule="auto"/>
              <w:ind w:firstLine="180"/>
              <w:rPr>
                <w:color w:val="080808"/>
                <w:sz w:val="22"/>
                <w:szCs w:val="22"/>
                <w:highlight w:val="white"/>
              </w:rPr>
            </w:pPr>
            <w:r>
              <w:rPr>
                <w:color w:val="080808"/>
                <w:sz w:val="22"/>
                <w:szCs w:val="22"/>
                <w:highlight w:val="white"/>
              </w:rPr>
              <w:t xml:space="preserve">0€</w:t>
            </w:r>
            <w:r>
              <w:rPr>
                <w:color w:val="080808"/>
                <w:sz w:val="22"/>
                <w:szCs w:val="22"/>
                <w:highlight w:val="white"/>
              </w:rPr>
            </w:r>
          </w:p>
        </w:tc>
        <w:tc>
          <w:tcPr>
            <w:shd w:val="clear" w:color="ffffff" w:fill="ffffff"/>
            <w:tcBorders>
              <w:top w:val="single" w:color="000000" w:sz="4" w:space="0"/>
              <w:left w:val="none" w:color="000000" w:sz="0" w:space="0"/>
              <w:bottom w:val="single" w:color="000000" w:sz="4" w:space="0"/>
              <w:right w:val="single" w:color="000000" w:sz="4" w:space="0"/>
            </w:tcBorders>
            <w:tcW w:w="1915" w:type="dxa"/>
            <w:textDirection w:val="lrTb"/>
            <w:noWrap w:val="false"/>
          </w:tcPr>
          <w:p>
            <w:pPr>
              <w:pBdr/>
              <w:spacing w:line="276" w:lineRule="auto"/>
              <w:ind w:firstLine="180"/>
              <w:rPr>
                <w:color w:val="080808"/>
                <w:sz w:val="22"/>
                <w:szCs w:val="22"/>
                <w:highlight w:val="white"/>
              </w:rPr>
            </w:pPr>
            <w:r>
              <w:rPr>
                <w:color w:val="080808"/>
                <w:sz w:val="22"/>
                <w:szCs w:val="22"/>
                <w:highlight w:val="white"/>
              </w:rPr>
              <w:t xml:space="preserve">0 €</w:t>
            </w:r>
            <w:r>
              <w:rPr>
                <w:color w:val="080808"/>
                <w:sz w:val="22"/>
                <w:szCs w:val="22"/>
                <w:highlight w:val="white"/>
              </w:rPr>
            </w:r>
          </w:p>
        </w:tc>
        <w:tc>
          <w:tcPr>
            <w:shd w:val="clear" w:color="ffffff" w:fill="ffffff"/>
            <w:tcBorders>
              <w:top w:val="single" w:color="000000" w:sz="4" w:space="0"/>
              <w:left w:val="none" w:color="000000" w:sz="0" w:space="0"/>
              <w:bottom w:val="single" w:color="000000" w:sz="4" w:space="0"/>
              <w:right w:val="single" w:color="000000" w:sz="4" w:space="0"/>
            </w:tcBorders>
            <w:tcW w:w="1880" w:type="dxa"/>
            <w:textDirection w:val="lrTb"/>
            <w:noWrap w:val="false"/>
          </w:tcPr>
          <w:p>
            <w:pPr>
              <w:pBdr/>
              <w:spacing w:line="276" w:lineRule="auto"/>
              <w:ind w:firstLine="180"/>
              <w:rPr>
                <w:color w:val="080808"/>
                <w:sz w:val="22"/>
                <w:szCs w:val="22"/>
                <w:highlight w:val="white"/>
              </w:rPr>
            </w:pPr>
            <w:r>
              <w:rPr>
                <w:color w:val="080808"/>
                <w:sz w:val="22"/>
                <w:szCs w:val="22"/>
                <w:highlight w:val="white"/>
              </w:rPr>
              <w:t xml:space="preserve">0 €</w:t>
            </w:r>
            <w:r>
              <w:rPr>
                <w:color w:val="080808"/>
                <w:sz w:val="22"/>
                <w:szCs w:val="22"/>
                <w:highlight w:val="white"/>
              </w:rPr>
            </w:r>
          </w:p>
        </w:tc>
        <w:tc>
          <w:tcPr>
            <w:shd w:val="clear" w:color="ffffff" w:fill="ffffff"/>
            <w:tcBorders>
              <w:top w:val="single" w:color="000000" w:sz="4" w:space="0"/>
              <w:left w:val="none" w:color="000000" w:sz="0" w:space="0"/>
              <w:bottom w:val="single" w:color="000000" w:sz="4" w:space="0"/>
              <w:right w:val="single" w:color="000000" w:sz="4" w:space="0"/>
            </w:tcBorders>
            <w:tcW w:w="1897" w:type="dxa"/>
            <w:textDirection w:val="lrTb"/>
            <w:noWrap w:val="false"/>
          </w:tcPr>
          <w:p>
            <w:pPr>
              <w:pBdr/>
              <w:spacing w:line="276" w:lineRule="auto"/>
              <w:ind/>
              <w:rPr>
                <w:color w:val="000000"/>
                <w:sz w:val="22"/>
                <w:szCs w:val="22"/>
                <w:highlight w:val="white"/>
              </w:rPr>
            </w:pPr>
            <w:r>
              <w:rPr>
                <w:color w:val="080808"/>
                <w:sz w:val="22"/>
                <w:szCs w:val="22"/>
                <w:highlight w:val="white"/>
              </w:rPr>
              <w:t xml:space="preserve">0 </w:t>
            </w:r>
            <w:r>
              <w:rPr>
                <w:color w:val="1c1a1c"/>
                <w:sz w:val="22"/>
                <w:szCs w:val="22"/>
                <w:highlight w:val="white"/>
              </w:rPr>
              <w:t xml:space="preserve">€</w:t>
            </w:r>
            <w:r>
              <w:rPr>
                <w:color w:val="000000"/>
                <w:sz w:val="22"/>
                <w:szCs w:val="22"/>
                <w:highlight w:val="white"/>
              </w:rPr>
            </w:r>
          </w:p>
        </w:tc>
      </w:tr>
    </w:tbl>
    <w:p>
      <w:pPr>
        <w:pBdr>
          <w:top w:val="none" w:color="000000" w:sz="0" w:space="0"/>
          <w:left w:val="none" w:color="000000" w:sz="0" w:space="0"/>
          <w:bottom w:val="none" w:color="000000" w:sz="0" w:space="0"/>
          <w:right w:val="none" w:color="000000" w:sz="0" w:space="0"/>
          <w:between w:val="none" w:color="000000" w:sz="0" w:space="0"/>
        </w:pBdr>
        <w:tabs>
          <w:tab w:val="right" w:leader="none" w:pos="9921"/>
          <w:tab w:val="right" w:leader="none" w:pos="9975"/>
        </w:tabs>
        <w:spacing w:line="276" w:lineRule="auto"/>
        <w:ind/>
        <w:jc w:val="both"/>
        <w:rPr>
          <w:b/>
          <w:bCs/>
        </w:rPr>
      </w:pPr>
      <w:r>
        <w:rPr>
          <w:b/>
          <w:bCs/>
        </w:rPr>
      </w:r>
      <w:r>
        <w:rPr>
          <w:b/>
          <w:bCs/>
        </w:rPr>
      </w:r>
    </w:p>
    <w:p>
      <w:pPr>
        <w:pBdr>
          <w:top w:val="none" w:color="000000" w:sz="0" w:space="0"/>
          <w:left w:val="none" w:color="000000" w:sz="0" w:space="0"/>
          <w:bottom w:val="none" w:color="000000" w:sz="0" w:space="0"/>
          <w:right w:val="none" w:color="000000" w:sz="0" w:space="0"/>
          <w:between w:val="none" w:color="000000" w:sz="0" w:space="0"/>
        </w:pBdr>
        <w:tabs>
          <w:tab w:val="right" w:leader="none" w:pos="9643"/>
        </w:tabs>
        <w:spacing w:line="276" w:lineRule="auto"/>
        <w:ind w:hanging="1020" w:left="1020"/>
        <w:jc w:val="both"/>
        <w:rPr>
          <w:b/>
          <w:bCs/>
          <w:color w:val="000000"/>
        </w:rPr>
      </w:pPr>
      <w:r>
        <w:rPr>
          <w:b/>
          <w:bCs/>
          <w:color w:val="000000"/>
        </w:rPr>
        <w:t xml:space="preserve">VISTA</w:t>
      </w:r>
      <w:r>
        <w:rPr>
          <w:b/>
          <w:bCs/>
          <w:color w:val="000000"/>
        </w:rPr>
        <w:tab/>
      </w:r>
      <w:r>
        <w:rPr>
          <w:color w:val="000000"/>
        </w:rPr>
        <w:t xml:space="preserve">la nota prot. 16431 del 31/12/2024 dei Dipartimenti per la Programmazione e del Bilancio e Tesoro con cui è stata comunicata la modifica delle percentuali di cofinanziamento intervenute a seguito della delibera di Giunta Regionale n. 297 del 12/09/2024;</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tabs>
          <w:tab w:val="right" w:leader="none" w:pos="9643"/>
        </w:tabs>
        <w:spacing w:line="276" w:lineRule="auto"/>
        <w:ind w:right="-6" w:hanging="1020" w:left="1020"/>
        <w:jc w:val="both"/>
        <w:rPr>
          <w:b/>
          <w:bCs/>
          <w:color w:val="000000"/>
        </w:rPr>
      </w:pPr>
      <w:r>
        <w:rPr>
          <w:b/>
          <w:bCs/>
          <w:color w:val="000000"/>
        </w:rPr>
        <w:t xml:space="preserve">VISTO</w:t>
      </w:r>
      <w:r>
        <w:rPr>
          <w:color w:val="000000"/>
        </w:rPr>
        <w:tab/>
        <w:t xml:space="preserve">il DRS n. _____ del _________ con il quale sono state riallineate le somme accertate in entrata alle nuove percentuali di cofinanziamento;</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hanging="1020" w:left="1020"/>
        <w:jc w:val="both"/>
        <w:rPr>
          <w:b/>
          <w:bCs/>
          <w:color w:val="000000"/>
        </w:rPr>
      </w:pPr>
      <w:r>
        <w:rPr>
          <w:b/>
          <w:bCs/>
          <w:color w:val="000000"/>
        </w:rPr>
        <w:t xml:space="preserve">VISTA</w:t>
      </w:r>
      <w:r>
        <w:rPr>
          <w:color w:val="000000"/>
        </w:rPr>
        <w:tab/>
        <w:t xml:space="preserve">la nota prot. n.  del _________________ con la quale Questo </w:t>
      </w:r>
      <w:r>
        <w:rPr>
          <w:color w:val="000000"/>
        </w:rPr>
        <w:t xml:space="preserve">CdR</w:t>
      </w:r>
      <w:r>
        <w:rPr>
          <w:color w:val="000000"/>
        </w:rPr>
        <w:t xml:space="preserve"> ha verificato preliminarmente la coerenza dell’avviso di attuazione dell’azione 4.5.1 - rispetto ai documenti attuativi del PR FESR Sicilia 2021/2027, in particolare rispetto al documento “</w:t>
      </w:r>
      <w:r>
        <w:rPr>
          <w:i/>
          <w:iCs/>
          <w:color w:val="000000"/>
        </w:rPr>
        <w:t xml:space="preserve">Metodologie e criteri di selezione delle operazioni</w:t>
      </w:r>
      <w:r>
        <w:rPr>
          <w:color w:val="000000"/>
        </w:rPr>
        <w:t xml:space="preserve">”;</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791"/>
        </w:tabs>
        <w:spacing w:line="276" w:lineRule="auto"/>
        <w:ind w:hanging="1020" w:left="1020"/>
        <w:jc w:val="both"/>
        <w:rPr>
          <w:b/>
          <w:bCs/>
          <w:color w:val="000000"/>
        </w:rPr>
      </w:pPr>
      <w:r>
        <w:rPr>
          <w:b/>
          <w:bCs/>
          <w:color w:val="000000"/>
        </w:rPr>
        <w:t xml:space="preserve">VISTO</w:t>
      </w:r>
      <w:r>
        <w:rPr>
          <w:color w:val="000000"/>
        </w:rPr>
        <w:tab/>
        <w:t xml:space="preserve">il DPR n. 66 del 10/03/2025 “</w:t>
      </w:r>
      <w:r>
        <w:rPr>
          <w:i/>
          <w:iCs/>
          <w:color w:val="000000"/>
        </w:rPr>
        <w:t xml:space="preserve">Re</w:t>
      </w:r>
      <w:r>
        <w:rPr>
          <w:i/>
          <w:iCs/>
          <w:color w:val="000000"/>
        </w:rPr>
        <w:t xml:space="preserve">golamento recante i criteri sull’ammissibilità della Spesa per i Programmi cofinanziati dai Fondi per la politica di coesione e degli altri fondi europei a gestione concorrente di cui al regolamento (UE) 2021/1060 per il periodo di programmazione 2021/2027</w:t>
      </w:r>
      <w:r>
        <w:rPr>
          <w:color w:val="000000"/>
        </w:rPr>
        <w:t xml:space="preserve">”;</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791"/>
        </w:tabs>
        <w:spacing w:line="276" w:lineRule="auto"/>
        <w:ind w:hanging="1020" w:left="1020"/>
        <w:jc w:val="both"/>
        <w:rPr>
          <w:b/>
          <w:bCs/>
          <w:color w:val="000000"/>
        </w:rPr>
      </w:pPr>
      <w:r>
        <w:rPr>
          <w:b/>
          <w:bCs/>
          <w:color w:val="000000"/>
        </w:rPr>
        <w:t xml:space="preserve">VISTO</w:t>
      </w:r>
      <w:r>
        <w:rPr>
          <w:color w:val="000000"/>
        </w:rPr>
        <w:tab/>
        <w:t xml:space="preserve">il D.D.G. n. 719/DRP del 17/10/2025 del Dipartimento regionale della Programmazione con il quale è stato adottato il Documento “</w:t>
      </w:r>
      <w:r>
        <w:rPr>
          <w:i/>
          <w:iCs/>
          <w:color w:val="000000"/>
        </w:rPr>
        <w:t xml:space="preserve">Manuale per l’attuazione del Programma Regionale FESR Sicilia 2021/2027 nella versione ottobre 2025</w:t>
      </w:r>
      <w:r>
        <w:rPr>
          <w:color w:val="000000"/>
        </w:rPr>
        <w:t xml:space="preserve">”;</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993" w:left="993"/>
        <w:jc w:val="both"/>
        <w:rPr>
          <w:b/>
          <w:bCs/>
          <w:color w:val="000000"/>
        </w:rPr>
      </w:pPr>
      <w:r>
        <w:rPr>
          <w:b/>
          <w:bCs/>
          <w:color w:val="000000"/>
        </w:rPr>
        <w:t xml:space="preserve">VISTA</w:t>
      </w:r>
      <w:r>
        <w:rPr>
          <w:color w:val="000000"/>
        </w:rPr>
        <w:tab/>
        <w:t xml:space="preserve">la L.R. 05/01/2026 n. 1 recante “</w:t>
      </w:r>
      <w:r>
        <w:rPr>
          <w:i/>
          <w:iCs/>
          <w:color w:val="000000"/>
        </w:rPr>
        <w:t xml:space="preserve">Legge di stabilità regionale 2026-2028</w:t>
      </w:r>
      <w:r>
        <w:rPr>
          <w:color w:val="000000"/>
        </w:rPr>
        <w:t xml:space="preserve">”;</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993" w:left="993"/>
        <w:jc w:val="both"/>
        <w:rPr>
          <w:b/>
          <w:bCs/>
          <w:color w:val="000000"/>
        </w:rPr>
      </w:pPr>
      <w:r>
        <w:rPr>
          <w:b/>
          <w:bCs/>
          <w:color w:val="000000"/>
        </w:rPr>
        <w:t xml:space="preserve">VISTA</w:t>
      </w:r>
      <w:r>
        <w:rPr>
          <w:color w:val="000000"/>
        </w:rPr>
        <w:tab/>
        <w:t xml:space="preserve">la L.R.05/01/2026 n. 2 recante “</w:t>
      </w:r>
      <w:r>
        <w:rPr>
          <w:i/>
          <w:iCs/>
          <w:color w:val="000000"/>
        </w:rPr>
        <w:t xml:space="preserve">Bilancio di previsione della Regione Siciliana per il triennio 2026-2028”</w:t>
      </w:r>
      <w:r>
        <w:rPr>
          <w:color w:val="000000"/>
        </w:rPr>
        <w:t xml:space="preserve">;</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993" w:left="993"/>
        <w:jc w:val="both"/>
        <w:rPr>
          <w:b/>
          <w:bCs/>
          <w:color w:val="000000"/>
        </w:rPr>
      </w:pPr>
      <w:r>
        <w:rPr>
          <w:b/>
          <w:bCs/>
          <w:color w:val="000000"/>
        </w:rPr>
        <w:t xml:space="preserve">VISTA</w:t>
      </w:r>
      <w:r>
        <w:rPr>
          <w:color w:val="000000"/>
        </w:rPr>
        <w:tab/>
        <w:t xml:space="preserve">la Delibera di Giunta n.13 del 12/01/2026 “</w:t>
      </w:r>
      <w:r>
        <w:rPr>
          <w:i/>
          <w:iCs/>
          <w:color w:val="000000"/>
        </w:rPr>
        <w:t xml:space="preserve">Bilancio di previsione della Regione Siciliana </w:t>
      </w:r>
      <w:r>
        <w:rPr>
          <w:i/>
          <w:iCs/>
        </w:rPr>
        <w:t xml:space="preserve">2026/2028.Decreto</w:t>
      </w:r>
      <w:r>
        <w:rPr>
          <w:i/>
          <w:iCs/>
          <w:color w:val="000000"/>
        </w:rPr>
        <w:t xml:space="preserve"> legislativo 23/06/2011 n.118, e ss.mm. e ii., Allegato 4/1 – 9.2. Approvazione del Documento tecnico di accompagnamento, Bilancio finanziario gestionale, Perimetro sanitario e Piano degli indicatori</w:t>
      </w:r>
      <w:r>
        <w:rPr>
          <w:color w:val="000000"/>
        </w:rPr>
        <w:t xml:space="preserve">”;</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791"/>
        </w:tabs>
        <w:spacing w:line="276" w:lineRule="auto"/>
        <w:ind w:hanging="1020" w:left="1020"/>
        <w:jc w:val="both"/>
        <w:rPr>
          <w:b/>
          <w:bCs/>
          <w:color w:val="000000"/>
        </w:rPr>
      </w:pPr>
      <w:r>
        <w:rPr>
          <w:b/>
          <w:bCs/>
          <w:color w:val="000000"/>
        </w:rPr>
        <w:t xml:space="preserve">VISTO</w:t>
      </w:r>
      <w:r>
        <w:rPr>
          <w:color w:val="000000"/>
        </w:rPr>
        <w:tab/>
        <w:t xml:space="preserve">l’Obiettivo Specifico RS04.5 “Gar</w:t>
      </w:r>
      <w:r>
        <w:rPr>
          <w:color w:val="000000"/>
        </w:rPr>
        <w:t xml:space="preserve">antire parità di accesso all’assistenza sanitaria e promuovere la resilienza nei sistemi sanitari, compresa l’assistenza sanitaria di base, come anche promuovere il passaggio dall’assistenza istituzionale a quella su base familiare e sul territorio” del PR</w:t>
      </w:r>
      <w:r>
        <w:t xml:space="preserve"> </w:t>
      </w:r>
      <w:r>
        <w:rPr>
          <w:color w:val="000000"/>
        </w:rPr>
        <w:t xml:space="preserve">FESR Sicilia 2021/2027 e in particolare l’Azione 4.5.1 “Favorire la riorganizzazione e qualificazione dei servizi sanitari territoriali e per il long </w:t>
      </w:r>
      <w:r>
        <w:rPr>
          <w:color w:val="000000"/>
        </w:rPr>
        <w:t xml:space="preserve">term</w:t>
      </w:r>
      <w:r>
        <w:rPr>
          <w:color w:val="000000"/>
        </w:rPr>
        <w:t xml:space="preserve"> care al fine di ridurre le diseguaglianze nell’accesso e i divari nel territorio”, pubblicato sulla GURS n.47 del 25/10/2024;</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018"/>
          <w:tab w:val="right" w:leader="none" w:pos="9643"/>
        </w:tabs>
        <w:spacing w:line="276" w:lineRule="auto"/>
        <w:ind w:hanging="1020" w:left="1020"/>
        <w:jc w:val="both"/>
        <w:rPr>
          <w:b/>
          <w:bCs/>
          <w:color w:val="000000"/>
        </w:rPr>
      </w:pPr>
      <w:r>
        <w:rPr>
          <w:b/>
          <w:bCs/>
          <w:color w:val="000000"/>
        </w:rPr>
        <w:t xml:space="preserve">RILEVATO</w:t>
      </w:r>
      <w:r>
        <w:rPr>
          <w:color w:val="000000"/>
        </w:rPr>
        <w:t xml:space="preserve"> che all’azione 4.5.1. è stata attribuita la </w:t>
      </w:r>
      <w:r>
        <w:rPr>
          <w:b/>
          <w:bCs/>
          <w:color w:val="000000"/>
        </w:rPr>
        <w:t xml:space="preserve">PRATT____________________; </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018"/>
        </w:tabs>
        <w:spacing w:line="276" w:lineRule="auto"/>
        <w:ind w:hanging="1020" w:left="1020"/>
        <w:jc w:val="both"/>
        <w:rPr>
          <w:b/>
          <w:bCs/>
          <w:color w:val="000000"/>
          <w:highlight w:val="white"/>
        </w:rPr>
      </w:pPr>
      <w:r>
        <w:rPr>
          <w:b/>
          <w:bCs/>
          <w:color w:val="000000"/>
          <w:highlight w:val="white"/>
        </w:rPr>
        <w:t xml:space="preserve">PRESO ATTO</w:t>
      </w:r>
      <w:r>
        <w:rPr>
          <w:color w:val="000000"/>
          <w:highlight w:val="white"/>
        </w:rPr>
        <w:t xml:space="preserve"> </w:t>
      </w:r>
      <w:r>
        <w:rPr>
          <w:color w:val="000000"/>
        </w:rPr>
        <w:t xml:space="preserve">della nota prot. n. ___ del __/__/____ con la quale il Servizio 3 “Gestione degli investimenti” di questo Dipartimento ha trasmesso l’Avviso per la presentazione delle istanze delle operazioni da ammettere al Parere di Conformità;</w:t>
      </w:r>
      <w:r>
        <w:rPr>
          <w:b/>
          <w:bCs/>
          <w:color w:val="000000"/>
          <w:highlight w:val="white"/>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hanging="1020" w:left="1020"/>
        <w:jc w:val="both"/>
        <w:rPr>
          <w:b/>
          <w:bCs/>
          <w:color w:val="000000"/>
        </w:rPr>
      </w:pPr>
      <w:r>
        <w:rPr>
          <w:b/>
          <w:bCs/>
          <w:color w:val="000000"/>
        </w:rPr>
        <w:t xml:space="preserve">VISTO</w:t>
      </w:r>
      <w:r>
        <w:rPr>
          <w:b/>
          <w:bCs/>
          <w:color w:val="000000"/>
        </w:rPr>
        <w:tab/>
      </w:r>
      <w:r>
        <w:rPr>
          <w:color w:val="000000"/>
        </w:rPr>
        <w:t xml:space="preserve">il D.D.G. n. ___ del __/__/____ con il quale è stato approvato l’elenco delle domande ritenute ammissibili alla successiva fase di valutazione nonché l’elenco delle domande ritenute non ricevibili e/o non ammissibili alla successiva fase di valutazione;</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 w:val="right" w:leader="none" w:pos="9643"/>
        </w:tabs>
        <w:spacing w:line="276" w:lineRule="auto"/>
        <w:ind w:hanging="1020" w:left="1020"/>
        <w:jc w:val="both"/>
        <w:rPr>
          <w:b/>
          <w:bCs/>
          <w:color w:val="000000"/>
        </w:rPr>
      </w:pPr>
      <w:r>
        <w:rPr>
          <w:b/>
          <w:bCs/>
          <w:color w:val="000000"/>
        </w:rPr>
        <w:t xml:space="preserve">VISTO   </w:t>
      </w:r>
      <w:r>
        <w:rPr>
          <w:b/>
          <w:bCs/>
          <w:color w:val="000000"/>
        </w:rPr>
        <w:tab/>
      </w:r>
      <w:r>
        <w:rPr>
          <w:color w:val="000000"/>
        </w:rPr>
        <w:t xml:space="preserve">il D.D.G. n. ___ del __/__/____ con il quale è stata nominata la Commissione di Valutazione delle operazioni progettuali ritenute ammissibili;</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before="101" w:line="276" w:lineRule="auto"/>
        <w:ind w:hanging="1077" w:left="1020"/>
        <w:jc w:val="both"/>
        <w:rPr>
          <w:b/>
          <w:bCs/>
          <w:color w:val="000000"/>
        </w:rPr>
      </w:pPr>
      <w:r>
        <w:rPr>
          <w:b/>
          <w:bCs/>
          <w:color w:val="000000"/>
        </w:rPr>
        <w:t xml:space="preserve">CONSIDERATO</w:t>
      </w:r>
      <w:r>
        <w:rPr>
          <w:color w:val="000000"/>
        </w:rPr>
        <w:t xml:space="preserve"> che la valutazione tecnico - finanziaria - appannaggio della C</w:t>
      </w:r>
      <w:r>
        <w:rPr>
          <w:color w:val="000000"/>
        </w:rPr>
        <w:t xml:space="preserve">ommissione – si rivolge essenzialmente alla verifica tecnica della coerenza dei progetti con le prescrizioni del PR FESR Sicilia 2021/2027 e con la programmazione settoriale sanitaria, nonché della cantierabilità degli interventi da ammettere al Programma;</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before="101" w:line="276" w:lineRule="auto"/>
        <w:ind w:hanging="1077" w:left="1020"/>
        <w:jc w:val="both"/>
        <w:rPr>
          <w:b/>
          <w:bCs/>
          <w:color w:val="000000"/>
        </w:rPr>
      </w:pPr>
      <w:r>
        <w:rPr>
          <w:b/>
          <w:bCs/>
          <w:color w:val="000000"/>
        </w:rPr>
        <w:t xml:space="preserve">VISTO</w:t>
      </w:r>
      <w:r>
        <w:rPr>
          <w:b/>
          <w:bCs/>
          <w:color w:val="000000"/>
        </w:rPr>
        <w:tab/>
      </w:r>
      <w:r>
        <w:rPr>
          <w:color w:val="000000"/>
        </w:rPr>
        <w:t xml:space="preserve">il D.D.G. n.___ del __/__/____ con il quale è stata approvata la graduatoria provvisoria delle operazioni ammissibili al finanziamento e dell’Elenco delle operazioni non ammissibili al finanziamento;</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before="101" w:line="276" w:lineRule="auto"/>
        <w:ind w:hanging="1077" w:left="1020"/>
        <w:jc w:val="both"/>
        <w:rPr>
          <w:b/>
          <w:bCs/>
          <w:color w:val="000000"/>
        </w:rPr>
      </w:pPr>
      <w:r>
        <w:rPr>
          <w:b/>
          <w:bCs/>
          <w:color w:val="000000"/>
        </w:rPr>
        <w:t xml:space="preserve">VISTO</w:t>
      </w:r>
      <w:r>
        <w:rPr>
          <w:b/>
          <w:bCs/>
          <w:color w:val="000000"/>
        </w:rPr>
        <w:tab/>
      </w:r>
      <w:r>
        <w:rPr>
          <w:color w:val="000000"/>
        </w:rPr>
        <w:t xml:space="preserve">il D.D.G. n.___ del __/__/____ con il quale è stata approvata la graduatoria delle operazioni ammesse al finanziamento e dell’Elenco delle operazioni non ammesse al finanziamento;</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before="101" w:line="276" w:lineRule="auto"/>
        <w:ind w:hanging="1077" w:left="1020"/>
        <w:jc w:val="both"/>
        <w:rPr>
          <w:highlight w:val="white"/>
        </w:rPr>
      </w:pPr>
      <w:r>
        <w:rPr>
          <w:b/>
          <w:bCs/>
          <w:highlight w:val="white"/>
        </w:rPr>
        <w:t xml:space="preserve">RILEVATO</w:t>
      </w:r>
      <w:r>
        <w:rPr>
          <w:highlight w:val="white"/>
        </w:rPr>
        <w:t xml:space="preserve"> </w:t>
      </w:r>
      <w:r>
        <w:rPr>
          <w:highlight w:val="white"/>
        </w:rPr>
        <w:tab/>
      </w:r>
      <w:r>
        <w:rPr>
          <w:highlight w:val="white"/>
        </w:rPr>
        <w:t xml:space="preserve">che al progetto _________</w:t>
      </w:r>
      <w:r>
        <w:rPr>
          <w:b/>
          <w:bCs/>
          <w:color w:val="000000"/>
          <w:highlight w:val="white"/>
        </w:rPr>
        <w:t xml:space="preserve"> </w:t>
      </w:r>
      <w:r>
        <w:rPr>
          <w:highlight w:val="white"/>
        </w:rPr>
        <w:t xml:space="preserve">è stato attribuito il CUP _________</w:t>
      </w:r>
      <w:r>
        <w:rPr>
          <w:b/>
          <w:bCs/>
          <w:highlight w:val="white"/>
        </w:rPr>
        <w:t xml:space="preserve"> </w:t>
      </w:r>
      <w:r>
        <w:rPr>
          <w:highlight w:val="white"/>
        </w:rPr>
        <w:t xml:space="preserve">e il Codice Caronte __________;</w:t>
      </w:r>
      <w:r>
        <w:rPr>
          <w:highlight w:val="white"/>
        </w:rPr>
      </w:r>
    </w:p>
    <w:p>
      <w:pPr>
        <w:pBdr>
          <w:top w:val="none" w:color="000000" w:sz="0" w:space="0"/>
          <w:left w:val="none" w:color="000000" w:sz="0" w:space="0"/>
          <w:bottom w:val="none" w:color="000000" w:sz="0" w:space="0"/>
          <w:right w:val="none" w:color="000000" w:sz="0" w:space="0"/>
          <w:between w:val="none" w:color="000000" w:sz="0" w:space="0"/>
        </w:pBdr>
        <w:spacing w:before="101" w:line="276" w:lineRule="auto"/>
        <w:ind w:hanging="1077" w:left="1020"/>
        <w:jc w:val="both"/>
        <w:rPr>
          <w:color w:val="000000"/>
        </w:rPr>
      </w:pPr>
      <w:r>
        <w:rPr>
          <w:b/>
          <w:bCs/>
        </w:rPr>
        <w:t xml:space="preserve">PRESO ATTO</w:t>
      </w:r>
      <w:r>
        <w:rPr>
          <w:color w:val="000000"/>
        </w:rPr>
        <w:t xml:space="preserve"> che la Commissione di </w:t>
      </w:r>
      <w:r>
        <w:t xml:space="preserve">Valutazione</w:t>
      </w:r>
      <w:r>
        <w:rPr>
          <w:color w:val="000000"/>
        </w:rPr>
        <w:t xml:space="preserve"> - nella seduta </w:t>
      </w:r>
      <w:r>
        <w:t xml:space="preserve">del </w:t>
      </w:r>
      <w:r>
        <w:rPr>
          <w:color w:val="000000"/>
        </w:rPr>
        <w:t xml:space="preserve">__/__/____ ha attribuito i</w:t>
      </w:r>
      <w:r>
        <w:t xml:space="preserve">l punteggio totale di __/___ </w:t>
      </w:r>
      <w:r>
        <w:rPr>
          <w:color w:val="000000"/>
        </w:rPr>
        <w:t xml:space="preserve">all’istanza, </w:t>
      </w:r>
      <w:r>
        <w:t xml:space="preserve">e che il quadro economico dell’intervento </w:t>
      </w:r>
      <w:r>
        <w:rPr>
          <w:color w:val="000000"/>
        </w:rPr>
        <w:t xml:space="preserve">trasmesso dal beneficiario con nota prot.</w:t>
      </w:r>
      <w:r>
        <w:rPr>
          <w:b/>
          <w:bCs/>
          <w:color w:val="000000"/>
        </w:rPr>
        <w:t xml:space="preserve"> </w:t>
      </w:r>
      <w:r>
        <w:rPr>
          <w:b/>
          <w:bCs/>
        </w:rPr>
        <w:t xml:space="preserve">n.</w:t>
      </w:r>
      <w:r>
        <w:rPr>
          <w:color w:val="000000"/>
        </w:rPr>
        <w:t xml:space="preserve">___ del __/__/____ è il seguente:</w:t>
      </w:r>
      <w:r>
        <w:rPr>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868"/>
        </w:tabs>
        <w:spacing w:line="276" w:lineRule="auto"/>
        <w:ind/>
        <w:jc w:val="both"/>
        <w:rPr>
          <w:b/>
          <w:bCs/>
        </w:rPr>
      </w:pPr>
      <w:r>
        <w:rPr>
          <w:b/>
          <w:bCs/>
        </w:rPr>
        <w:tab/>
      </w:r>
      <w:r>
        <w:t xml:space="preserve">Inserire quadro economico</w:t>
      </w:r>
      <w:r>
        <w:rPr>
          <w:b/>
          <w:bCs/>
        </w:rPr>
      </w:r>
    </w:p>
    <w:p>
      <w:pPr>
        <w:pBdr>
          <w:top w:val="none" w:color="000000" w:sz="0" w:space="0"/>
          <w:left w:val="none" w:color="000000" w:sz="0" w:space="0"/>
          <w:bottom w:val="none" w:color="000000" w:sz="0" w:space="0"/>
          <w:right w:val="none" w:color="000000" w:sz="0" w:space="0"/>
          <w:between w:val="none" w:color="000000" w:sz="0" w:space="0"/>
        </w:pBdr>
        <w:spacing w:before="1" w:line="276" w:lineRule="auto"/>
        <w:ind w:right="136"/>
        <w:jc w:val="both"/>
        <w:rPr>
          <w:highlight w:val="white"/>
        </w:rPr>
      </w:pPr>
      <w:r>
        <w:rPr>
          <w:rFonts w:ascii="Times New Roman" w:hAnsi="Times New Roman" w:eastAsia="Times New Roman" w:cs="Times New Roman"/>
          <w:b/>
          <w:bCs/>
          <w:color w:val="000000"/>
          <w:highlight w:val="white"/>
        </w:rPr>
        <w:t xml:space="preserve">PRESO ATTO </w:t>
      </w:r>
      <w:r>
        <w:rPr>
          <w:highlight w:val="white"/>
        </w:rPr>
        <w:t xml:space="preserve">altresì,</w:t>
      </w:r>
      <w:r>
        <w:rPr>
          <w:rFonts w:ascii="Times New Roman" w:hAnsi="Times New Roman" w:eastAsia="Times New Roman" w:cs="Times New Roman"/>
          <w:b/>
          <w:bCs/>
          <w:color w:val="000000"/>
          <w:highlight w:val="white"/>
        </w:rPr>
        <w:t xml:space="preserve"> </w:t>
      </w:r>
      <w:r>
        <w:rPr>
          <w:rFonts w:ascii="Times New Roman" w:hAnsi="Times New Roman" w:eastAsia="Times New Roman" w:cs="Times New Roman"/>
          <w:color w:val="000000"/>
          <w:highlight w:val="white"/>
        </w:rPr>
        <w:t xml:space="preserve">con delibera prot. n. </w:t>
      </w:r>
      <w:r>
        <w:rPr>
          <w:color w:val="000000"/>
        </w:rPr>
        <w:t xml:space="preserve">___ del __/__/____</w:t>
      </w:r>
      <w:r>
        <w:rPr>
          <w:rFonts w:ascii="Times New Roman" w:hAnsi="Times New Roman" w:eastAsia="Times New Roman" w:cs="Times New Roman"/>
          <w:color w:val="000000"/>
          <w:highlight w:val="white"/>
        </w:rPr>
        <w:t xml:space="preserve"> del _______, è stato individuato</w:t>
      </w:r>
      <w:r>
        <w:rPr>
          <w:highlight w:val="white"/>
        </w:rPr>
        <w:t xml:space="preserve"> </w:t>
      </w:r>
      <w:r>
        <w:rPr>
          <w:rFonts w:ascii="Times New Roman" w:hAnsi="Times New Roman" w:eastAsia="Times New Roman" w:cs="Times New Roman"/>
          <w:color w:val="000000"/>
          <w:highlight w:val="white"/>
        </w:rPr>
        <w:t xml:space="preserve">Responsabile </w:t>
      </w:r>
      <w:r>
        <w:rPr>
          <w:rFonts w:ascii="Times New Roman" w:hAnsi="Times New Roman" w:eastAsia="Times New Roman" w:cs="Times New Roman"/>
          <w:color w:val="000000"/>
          <w:highlight w:val="white"/>
        </w:rPr>
        <w:tab/>
        <w:t xml:space="preserve">  </w:t>
      </w:r>
      <w:r>
        <w:rPr>
          <w:rFonts w:ascii="Times New Roman" w:hAnsi="Times New Roman" w:eastAsia="Times New Roman" w:cs="Times New Roman"/>
          <w:color w:val="000000"/>
          <w:highlight w:val="white"/>
        </w:rPr>
        <w:t xml:space="preserve"> </w:t>
      </w:r>
      <w:r>
        <w:rPr>
          <w:rFonts w:ascii="Times New Roman" w:hAnsi="Times New Roman" w:eastAsia="Times New Roman" w:cs="Times New Roman"/>
          <w:color w:val="000000"/>
          <w:highlight w:val="white"/>
        </w:rPr>
        <w:tab/>
        <w:t xml:space="preserve">     </w:t>
      </w:r>
      <w:r>
        <w:rPr>
          <w:rFonts w:ascii="Times New Roman" w:hAnsi="Times New Roman" w:eastAsia="Times New Roman" w:cs="Times New Roman"/>
          <w:color w:val="000000"/>
          <w:highlight w:val="white"/>
        </w:rPr>
        <w:t xml:space="preserve">Unico del Procedimento ________ e REO, _________;</w:t>
      </w:r>
      <w:r>
        <w:rPr>
          <w:highlight w:val="white"/>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993" w:left="993"/>
        <w:jc w:val="both"/>
        <w:rPr>
          <w:b/>
          <w:bCs/>
          <w:color w:val="000000"/>
        </w:rPr>
      </w:pPr>
      <w:r>
        <w:rPr>
          <w:b/>
          <w:bCs/>
          <w:color w:val="000000"/>
        </w:rPr>
        <w:t xml:space="preserve">VISTO</w:t>
      </w:r>
      <w:r>
        <w:rPr>
          <w:b/>
          <w:bCs/>
          <w:color w:val="000000"/>
        </w:rPr>
        <w:tab/>
      </w:r>
      <w:r>
        <w:rPr>
          <w:color w:val="000000"/>
        </w:rPr>
        <w:t xml:space="preserve">il Decreto del Presidente della Regione Siciliana n. ___ del __/__/____ con il quale è stato conferito l’incarico di Dirigente Generale del Dipartimento Pianificazione Strategica a __________;</w:t>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993" w:left="993"/>
        <w:jc w:val="both"/>
        <w:rPr>
          <w:color w:val="000000"/>
        </w:rPr>
      </w:pPr>
      <w:r>
        <w:rPr>
          <w:b/>
          <w:bCs/>
          <w:color w:val="000000"/>
        </w:rPr>
        <w:t xml:space="preserve">VISTO</w:t>
      </w:r>
      <w:r>
        <w:rPr>
          <w:color w:val="000000"/>
        </w:rPr>
        <w:tab/>
        <w:t xml:space="preserve">il D.D.G. n. ___ del __/__/____ con il quale è stato conferito l’incarico di Dirigente del Servizio 3 “</w:t>
      </w:r>
      <w:r>
        <w:rPr>
          <w:i/>
          <w:iCs/>
          <w:color w:val="000000"/>
        </w:rPr>
        <w:t xml:space="preserve">Gestione degli Investimenti</w:t>
      </w:r>
      <w:r>
        <w:rPr>
          <w:color w:val="000000"/>
        </w:rPr>
        <w:t xml:space="preserve">” a _______-</w:t>
      </w:r>
      <w:r>
        <w:rPr>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993" w:left="993"/>
        <w:jc w:val="both"/>
        <w:rPr/>
      </w:pPr>
      <w:r/>
      <w:r/>
    </w:p>
    <w:p>
      <w:pPr>
        <w:pBdr>
          <w:top w:val="none" w:color="000000" w:sz="0" w:space="0"/>
          <w:left w:val="none" w:color="000000" w:sz="0" w:space="0"/>
          <w:bottom w:val="none" w:color="000000" w:sz="0" w:space="0"/>
          <w:right w:val="none" w:color="000000" w:sz="0" w:space="0"/>
          <w:between w:val="none" w:color="000000" w:sz="0" w:space="0"/>
        </w:pBdr>
        <w:tabs>
          <w:tab w:val="left" w:leader="none" w:pos="1134"/>
        </w:tabs>
        <w:spacing w:line="276" w:lineRule="auto"/>
        <w:ind w:hanging="1134" w:left="1134"/>
        <w:jc w:val="both"/>
        <w:rPr>
          <w:b/>
          <w:bCs/>
          <w:color w:val="000000"/>
        </w:rPr>
      </w:pPr>
      <w:r>
        <w:rPr>
          <w:b/>
          <w:bCs/>
          <w:color w:val="000000"/>
        </w:rPr>
        <w:t xml:space="preserve">DECRETA</w:t>
      </w:r>
      <w:r>
        <w:rPr>
          <w:b/>
          <w:bCs/>
          <w:color w:val="000000"/>
        </w:rPr>
      </w:r>
    </w:p>
    <w:p>
      <w:pPr>
        <w:pBdr/>
        <w:spacing w:line="276" w:lineRule="auto"/>
        <w:ind w:right="135" w:hanging="992" w:left="992"/>
        <w:jc w:val="both"/>
        <w:rPr>
          <w:highlight w:val="green"/>
        </w:rPr>
      </w:pPr>
      <w:r>
        <w:rPr>
          <w:b/>
          <w:bCs/>
          <w:color w:val="000000"/>
          <w:highlight w:val="white"/>
        </w:rPr>
        <w:t xml:space="preserve">ART. 1</w:t>
      </w:r>
      <w:r>
        <w:rPr>
          <w:color w:val="000000"/>
          <w:highlight w:val="white"/>
        </w:rPr>
        <w:tab/>
      </w:r>
      <w:r>
        <w:t xml:space="preserve">per le motivazioni di cui in premessa ed in ragione degli atti adottati dall’azienda responsabile, è ammesso a finanziamento l’intervento di _____</w:t>
      </w:r>
      <w:r>
        <w:t xml:space="preserve">_ ,</w:t>
      </w:r>
      <w:r>
        <w:t xml:space="preserve"> denominato </w:t>
      </w:r>
      <w:r>
        <w:rPr>
          <w:b/>
          <w:bCs/>
        </w:rPr>
        <w:t xml:space="preserve">________ </w:t>
      </w:r>
      <w:r>
        <w:t xml:space="preserve">dell’importo di euro </w:t>
      </w:r>
      <w:r>
        <w:rPr>
          <w:b/>
          <w:bCs/>
        </w:rPr>
        <w:t xml:space="preserve">_________ </w:t>
      </w:r>
      <w:r>
        <w:t xml:space="preserve">identificato con il codice CUP _____ e il Codice Caronte______, secondo il seguente quadro economico:</w:t>
      </w:r>
      <w:r>
        <w:rPr>
          <w:highlight w:val="green"/>
        </w:rPr>
      </w:r>
    </w:p>
    <w:p>
      <w:pPr>
        <w:pBdr/>
        <w:spacing w:line="276" w:lineRule="auto"/>
        <w:ind/>
        <w:jc w:val="both"/>
        <w:rPr>
          <w:highlight w:val="white"/>
        </w:rPr>
      </w:pPr>
      <w:r>
        <w:rPr>
          <w:highlight w:val="white"/>
        </w:rPr>
        <w:tab/>
      </w:r>
      <w:r>
        <w:tab/>
        <w:t xml:space="preserve">Inserire quadro economico</w:t>
      </w:r>
      <w:r>
        <w:rPr>
          <w:highlight w:val="white"/>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993" w:left="993"/>
        <w:jc w:val="both"/>
        <w:rPr>
          <w:highlight w:val="white"/>
        </w:rPr>
      </w:pPr>
      <w:r>
        <w:rPr>
          <w:b/>
          <w:bCs/>
          <w:color w:val="000000"/>
          <w:highlight w:val="white"/>
        </w:rPr>
        <w:t xml:space="preserve">ART. 2</w:t>
      </w:r>
      <w:r>
        <w:rPr>
          <w:color w:val="000000"/>
          <w:highlight w:val="white"/>
        </w:rPr>
        <w:tab/>
        <w:t xml:space="preserve">L</w:t>
      </w:r>
      <w:r>
        <w:rPr>
          <w:highlight w:val="white"/>
        </w:rPr>
        <w:t xml:space="preserve">’attuazione dell’intervento di cui all’articolo 1, in coerenza con la natura dell’azione, è demandata al beneficiario, il quale deve attivare le procedure di evidenza pubblica previste dalla normativa comunitaria e nazionale, </w:t>
      </w:r>
      <w:r>
        <w:t xml:space="preserve">nel rispetto</w:t>
      </w:r>
      <w:r>
        <w:t xml:space="preserve"> del disciplinare di finanziamento, allegato al presente decreto,</w:t>
      </w:r>
      <w:r>
        <w:t xml:space="preserve"> </w:t>
      </w:r>
      <w:r>
        <w:rPr>
          <w:highlight w:val="white"/>
        </w:rPr>
        <w:t xml:space="preserve">della tempistica disciplinata dal cronoprogramma allegato al Disciplinare di finanziamento, per l’affidamento di contratti pubblici finalizzati all’attuazione dell’operazione.</w:t>
      </w:r>
      <w:r>
        <w:rPr>
          <w:highlight w:val="white"/>
        </w:rPr>
        <w:tab/>
      </w:r>
      <w:r>
        <w:rPr>
          <w:highlight w:val="white"/>
        </w:rPr>
        <w:tab/>
      </w:r>
      <w:r>
        <w:rPr>
          <w:highlight w:val="white"/>
        </w:rPr>
        <w:tab/>
      </w:r>
      <w:r>
        <w:rPr>
          <w:highlight w:val="white"/>
        </w:rPr>
        <w:tab/>
      </w:r>
      <w:r>
        <w:rPr>
          <w:highlight w:val="white"/>
        </w:rPr>
        <w:br/>
        <w:t xml:space="preserve">Ad avvenuto espletamento di tali procedure, il Beneficiario:</w:t>
      </w:r>
      <w:r>
        <w:rPr>
          <w:highlight w:val="white"/>
        </w:rPr>
      </w:r>
    </w:p>
    <w:p>
      <w:pPr>
        <w:numPr>
          <w:ilvl w:val="0"/>
          <w:numId w:val="3"/>
        </w:numPr>
        <w:pBdr>
          <w:top w:val="none" w:color="000000" w:sz="0" w:space="0"/>
          <w:left w:val="none" w:color="000000" w:sz="0" w:space="0"/>
          <w:bottom w:val="none" w:color="000000" w:sz="0" w:space="0"/>
          <w:right w:val="none" w:color="000000" w:sz="0" w:space="0"/>
          <w:between w:val="none" w:color="000000" w:sz="0" w:space="0"/>
        </w:pBdr>
        <w:spacing w:line="276" w:lineRule="auto"/>
        <w:ind/>
        <w:jc w:val="both"/>
        <w:rPr>
          <w:highlight w:val="white"/>
        </w:rPr>
      </w:pPr>
      <w:r>
        <w:rPr>
          <w:highlight w:val="white"/>
        </w:rPr>
        <w:t xml:space="preserve">deve trasmettere al Servizio </w:t>
      </w:r>
      <w:r>
        <w:rPr>
          <w:highlight w:val="white"/>
        </w:rPr>
        <w:t xml:space="preserve">3” Gestione</w:t>
      </w:r>
      <w:r>
        <w:rPr>
          <w:highlight w:val="white"/>
        </w:rPr>
        <w:t xml:space="preserve"> degli Investimenti” gli atti di gara e il contratto sottoscritto con l’Operatore economico; nell’ipotesi</w:t>
      </w:r>
      <w:r>
        <w:rPr>
          <w:highlight w:val="white"/>
        </w:rPr>
        <w:t xml:space="preserve"> in cui l’operazione preveda la realizzazione di opere e/o l’acquisizione di servizi e/o forniture mediante l’espletamento di diverse procedure di gara, la documentazione di cui sopra deve essere inoltrata a seguito dell’espletamento di ciascuna procedura;</w:t>
      </w:r>
      <w:r>
        <w:rPr>
          <w:highlight w:val="white"/>
        </w:rPr>
      </w:r>
    </w:p>
    <w:p>
      <w:pPr>
        <w:numPr>
          <w:ilvl w:val="0"/>
          <w:numId w:val="3"/>
        </w:numPr>
        <w:pBdr>
          <w:top w:val="none" w:color="000000" w:sz="0" w:space="0"/>
          <w:left w:val="none" w:color="000000" w:sz="0" w:space="0"/>
          <w:bottom w:val="none" w:color="000000" w:sz="0" w:space="0"/>
          <w:right w:val="none" w:color="000000" w:sz="0" w:space="0"/>
          <w:between w:val="none" w:color="000000" w:sz="0" w:space="0"/>
        </w:pBdr>
        <w:spacing w:line="276" w:lineRule="auto"/>
        <w:ind/>
        <w:jc w:val="both"/>
        <w:rPr>
          <w:highlight w:val="white"/>
        </w:rPr>
      </w:pPr>
      <w:r>
        <w:rPr>
          <w:highlight w:val="white"/>
        </w:rPr>
        <w:t xml:space="preserve">unitamente alla documentazione di cui sopra il Beneficiario deve garantire l’inserimento nella sezione documentale di Caronte:</w:t>
      </w:r>
      <w:r>
        <w:rPr>
          <w:highlight w:val="white"/>
        </w:rPr>
        <w:tab/>
      </w:r>
      <w:r>
        <w:rPr>
          <w:highlight w:val="white"/>
        </w:rPr>
        <w:tab/>
      </w:r>
      <w:r>
        <w:rPr>
          <w:highlight w:val="white"/>
        </w:rPr>
        <w:tab/>
      </w:r>
      <w:r>
        <w:rPr>
          <w:highlight w:val="white"/>
        </w:rPr>
        <w:br/>
        <w:t xml:space="preserve">a)  nel caso di acquisizione di servizi o forniture: della documentazione comp</w:t>
      </w:r>
      <w:r>
        <w:rPr>
          <w:highlight w:val="white"/>
        </w:rPr>
        <w:t xml:space="preserve">leta (Delibera/Determina a contrarre, bando/avviso, disciplinare di gara, capitolato d’appalto, progetto di servizi o forniture, ecc.) prevista dalla disciplina nazionale e regionale per l’espletamento della procedura di affidamento del contratto pubblico;</w:t>
      </w:r>
      <w:r>
        <w:rPr>
          <w:highlight w:val="white"/>
        </w:rPr>
        <w:tab/>
      </w:r>
      <w:r>
        <w:rPr>
          <w:highlight w:val="white"/>
        </w:rPr>
        <w:tab/>
      </w:r>
      <w:r>
        <w:rPr>
          <w:highlight w:val="white"/>
        </w:rPr>
        <w:tab/>
      </w:r>
      <w:r>
        <w:rPr>
          <w:highlight w:val="white"/>
        </w:rPr>
        <w:br/>
        <w:t xml:space="preserve">b) nel caso di OOPP: della documentazione completa (decreto/determina a contrarre, bando/avviso, disciplinare di gara, capitolato d’appalto, ecc.) prevista dalla disciplina nazionale</w:t>
      </w:r>
      <w:r>
        <w:rPr>
          <w:highlight w:val="white"/>
        </w:rPr>
        <w:t xml:space="preserve"> e regionale per l’espletamento della procedura di affidamento del contratto pubblico, ivi compreso, se non già presente, il progetto esecutivo dell’operazione, munito di tutti i pareri e i nulla osta previsti dalla normativa nazionale in materia di OOPP;</w:t>
      </w:r>
      <w:r>
        <w:rPr>
          <w:highlight w:val="white"/>
        </w:rPr>
      </w:r>
    </w:p>
    <w:p>
      <w:pPr>
        <w:numPr>
          <w:ilvl w:val="0"/>
          <w:numId w:val="3"/>
        </w:numPr>
        <w:pBdr>
          <w:top w:val="none" w:color="000000" w:sz="0" w:space="0"/>
          <w:left w:val="none" w:color="000000" w:sz="0" w:space="0"/>
          <w:bottom w:val="none" w:color="000000" w:sz="0" w:space="0"/>
          <w:right w:val="none" w:color="000000" w:sz="0" w:space="0"/>
          <w:between w:val="none" w:color="000000" w:sz="0" w:space="0"/>
        </w:pBdr>
        <w:spacing w:line="276" w:lineRule="auto"/>
        <w:ind/>
        <w:jc w:val="both"/>
        <w:rPr>
          <w:highlight w:val="white"/>
        </w:rPr>
      </w:pPr>
      <w:r>
        <w:rPr>
          <w:highlight w:val="white"/>
        </w:rPr>
        <w:t xml:space="preserve">deve attenersi puntualmente agli obblighi gravanti sui beneficiari, di cui al punto __ della circolare attuativa approvata con D.D.G. n.</w:t>
      </w:r>
      <w:r>
        <w:t xml:space="preserve"> ___ del __/__/_____</w:t>
      </w:r>
      <w:r>
        <w:rPr>
          <w:highlight w:val="white"/>
        </w:rPr>
        <w:t xml:space="preserve"> che qui si intende integralmente richiamato;</w:t>
      </w:r>
      <w:r>
        <w:rPr>
          <w:highlight w:val="white"/>
        </w:rPr>
      </w:r>
    </w:p>
    <w:p>
      <w:pPr>
        <w:numPr>
          <w:ilvl w:val="0"/>
          <w:numId w:val="3"/>
        </w:numPr>
        <w:pBdr>
          <w:top w:val="none" w:color="000000" w:sz="0" w:space="0"/>
          <w:left w:val="none" w:color="000000" w:sz="0" w:space="0"/>
          <w:bottom w:val="none" w:color="000000" w:sz="0" w:space="0"/>
          <w:right w:val="none" w:color="000000" w:sz="0" w:space="0"/>
          <w:between w:val="none" w:color="000000" w:sz="0" w:space="0"/>
        </w:pBdr>
        <w:spacing w:line="276" w:lineRule="auto"/>
        <w:ind/>
        <w:jc w:val="both"/>
        <w:rPr>
          <w:highlight w:val="white"/>
        </w:rPr>
      </w:pPr>
      <w:r>
        <w:rPr>
          <w:highlight w:val="white"/>
        </w:rPr>
        <w:t xml:space="preserve">deve osservare puntualmente le disposizioni in materia di pubblicità e comunicazione dei risultati richiamate al punto _ della circolare approvata con D.D.G. n.</w:t>
      </w:r>
      <w:r>
        <w:t xml:space="preserve"> ___ del __/__/_____</w:t>
      </w:r>
      <w:r>
        <w:rPr>
          <w:highlight w:val="white"/>
        </w:rPr>
        <w:t xml:space="preserve"> che qui si intende integralmente riportato;</w:t>
      </w:r>
      <w:r>
        <w:rPr>
          <w:highlight w:val="white"/>
        </w:rPr>
      </w:r>
    </w:p>
    <w:p>
      <w:pPr>
        <w:pBdr>
          <w:top w:val="none" w:color="000000" w:sz="0" w:space="0"/>
          <w:left w:val="none" w:color="000000" w:sz="0" w:space="0"/>
          <w:bottom w:val="none" w:color="000000" w:sz="0" w:space="0"/>
          <w:right w:val="none" w:color="000000" w:sz="0" w:space="0"/>
          <w:between w:val="none" w:color="000000" w:sz="0" w:space="0"/>
        </w:pBdr>
        <w:tabs>
          <w:tab w:val="left" w:leader="none" w:pos="2150"/>
          <w:tab w:val="left" w:leader="none" w:pos="3599"/>
          <w:tab w:val="left" w:leader="none" w:pos="4386"/>
          <w:tab w:val="left" w:leader="none" w:pos="5653"/>
          <w:tab w:val="left" w:leader="none" w:pos="7371"/>
          <w:tab w:val="left" w:leader="none" w:pos="8170"/>
          <w:tab w:val="left" w:leader="none" w:pos="9196"/>
        </w:tabs>
        <w:spacing w:line="276" w:lineRule="auto"/>
        <w:ind w:right="-6" w:hanging="1421" w:left="1421"/>
        <w:jc w:val="both"/>
        <w:rPr>
          <w:rFonts w:ascii="Times New Roman" w:hAnsi="Times New Roman" w:eastAsia="Times New Roman" w:cs="Times New Roman"/>
          <w:color w:val="000000"/>
          <w:highlight w:val="white"/>
        </w:rPr>
      </w:pPr>
      <w:r>
        <w:rPr>
          <w:rFonts w:ascii="Times New Roman" w:hAnsi="Times New Roman" w:eastAsia="Times New Roman" w:cs="Times New Roman"/>
          <w:b/>
          <w:bCs/>
          <w:color w:val="000000"/>
          <w:highlight w:val="white"/>
        </w:rPr>
        <w:t xml:space="preserve">ART. 3</w:t>
      </w:r>
      <w:r>
        <w:rPr>
          <w:rFonts w:ascii="Times New Roman" w:hAnsi="Times New Roman" w:eastAsia="Times New Roman" w:cs="Times New Roman"/>
          <w:b/>
          <w:bCs/>
          <w:color w:val="000000"/>
          <w:highlight w:val="white"/>
        </w:rPr>
        <w:tab/>
      </w:r>
      <w:r>
        <w:rPr>
          <w:color w:val="000000"/>
          <w:highlight w:val="white"/>
        </w:rPr>
        <w:t xml:space="preserve">la copertura finanziaria dell’intervento di cui all’art. 1 del costo complessivo di euro _____</w:t>
      </w:r>
      <w:r>
        <w:rPr>
          <w:b/>
          <w:bCs/>
          <w:highlight w:val="white"/>
        </w:rPr>
        <w:t xml:space="preserve"> </w:t>
      </w:r>
      <w:r>
        <w:rPr>
          <w:color w:val="000000"/>
          <w:highlight w:val="white"/>
        </w:rPr>
        <w:t xml:space="preserve">è</w:t>
      </w:r>
      <w:r>
        <w:rPr>
          <w:highlight w:val="white"/>
        </w:rPr>
        <w:t xml:space="preserve"> </w:t>
      </w:r>
      <w:r>
        <w:rPr>
          <w:color w:val="000000"/>
          <w:highlight w:val="white"/>
        </w:rPr>
        <w:t xml:space="preserve">assicurata dall’impegno poliennale assunto con</w:t>
      </w:r>
      <w:r>
        <w:rPr>
          <w:highlight w:val="white"/>
        </w:rPr>
        <w:t xml:space="preserve"> </w:t>
      </w:r>
      <w:r>
        <w:rPr>
          <w:color w:val="000000"/>
          <w:highlight w:val="white"/>
        </w:rPr>
        <w:t xml:space="preserve">D.R.S. 1368 del 04/12/2024 con il quale è stata </w:t>
      </w:r>
      <w:r>
        <w:rPr>
          <w:color w:val="000000"/>
          <w:highlight w:val="white"/>
        </w:rPr>
        <w:t xml:space="preserve">impegnata la somma complessiva di euro</w:t>
      </w:r>
      <w:r>
        <w:rPr>
          <w:rFonts w:ascii="Times New Roman" w:hAnsi="Times New Roman" w:eastAsia="Times New Roman" w:cs="Times New Roman"/>
          <w:b/>
          <w:bCs/>
          <w:color w:val="000000"/>
          <w:highlight w:val="white"/>
        </w:rPr>
        <w:t xml:space="preserve"> </w:t>
      </w:r>
      <w:r>
        <w:rPr>
          <w:rFonts w:ascii="Times New Roman" w:hAnsi="Times New Roman" w:eastAsia="Times New Roman" w:cs="Times New Roman"/>
          <w:color w:val="000000"/>
          <w:highlight w:val="white"/>
        </w:rPr>
        <w:t xml:space="preserve">_________________ per risorse non territorializzate sul capitolo di spesa 812035 “Spese in conto capitale per contributi agli investimenti a valere del PR Si</w:t>
      </w:r>
      <w:r>
        <w:rPr>
          <w:rFonts w:ascii="Times New Roman" w:hAnsi="Times New Roman" w:eastAsia="Times New Roman" w:cs="Times New Roman"/>
          <w:color w:val="000000"/>
          <w:highlight w:val="white"/>
        </w:rPr>
        <w:t xml:space="preserve">cilia FESR 2021/2027 Azione 4.5.1. - Priorità 005 - Una Sicilia più inclusiva” risorse non territorializzate” – codice finanziario U.02.03.01.02.011 – in favore delle aziende provinciali destinatarie delle risorse di cui all’Avviso Pubblico Azione 4.5.1. “</w:t>
      </w:r>
      <w:r>
        <w:rPr>
          <w:rFonts w:ascii="Times New Roman" w:hAnsi="Times New Roman" w:eastAsia="Times New Roman" w:cs="Times New Roman"/>
          <w:i/>
          <w:iCs/>
          <w:color w:val="000000"/>
          <w:highlight w:val="white"/>
        </w:rPr>
        <w:t xml:space="preserve">Favorire la riorganizzazione e qualificazione dei servizi sanitari territoriali e per il long </w:t>
      </w:r>
      <w:r>
        <w:rPr>
          <w:rFonts w:ascii="Times New Roman" w:hAnsi="Times New Roman" w:eastAsia="Times New Roman" w:cs="Times New Roman"/>
          <w:i/>
          <w:iCs/>
          <w:color w:val="000000"/>
          <w:highlight w:val="white"/>
        </w:rPr>
        <w:t xml:space="preserve">term</w:t>
      </w:r>
      <w:r>
        <w:rPr>
          <w:rFonts w:ascii="Times New Roman" w:hAnsi="Times New Roman" w:eastAsia="Times New Roman" w:cs="Times New Roman"/>
          <w:i/>
          <w:iCs/>
          <w:color w:val="000000"/>
          <w:highlight w:val="white"/>
        </w:rPr>
        <w:t xml:space="preserve"> care al fine di ridurre le disuguaglianze nell’accesso e i divari nel territorio</w:t>
      </w:r>
      <w:r>
        <w:rPr>
          <w:rFonts w:ascii="Times New Roman" w:hAnsi="Times New Roman" w:eastAsia="Times New Roman" w:cs="Times New Roman"/>
          <w:color w:val="000000"/>
          <w:highlight w:val="white"/>
        </w:rPr>
        <w:t xml:space="preserve">” (PRATT __________________), secondo il seguente schema:</w:t>
      </w:r>
      <w:r>
        <w:rPr>
          <w:rFonts w:ascii="Times New Roman" w:hAnsi="Times New Roman" w:eastAsia="Times New Roman" w:cs="Times New Roman"/>
          <w:color w:val="000000"/>
          <w:highlight w:val="white"/>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1440" w:left="1440"/>
        <w:jc w:val="both"/>
        <w:rPr>
          <w:color w:val="000000"/>
        </w:rPr>
      </w:pPr>
      <w:r>
        <w:rPr>
          <w:color w:val="000000"/>
        </w:rPr>
        <w:tab/>
        <w:t xml:space="preserve"> </w:t>
      </w:r>
      <w:r>
        <w:rPr>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1440" w:left="1440"/>
        <w:jc w:val="both"/>
        <w:rPr>
          <w:color w:val="000000"/>
        </w:rPr>
      </w:pPr>
      <w:r>
        <w:rPr>
          <w:color w:val="000000"/>
        </w:rPr>
      </w:r>
      <w:r>
        <w:rPr>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1440" w:left="1440"/>
        <w:jc w:val="both"/>
        <w:rPr>
          <w:b/>
          <w:bCs/>
          <w:color w:val="000000"/>
        </w:rPr>
      </w:pPr>
      <w:r>
        <w:rPr>
          <w:b/>
          <w:bCs/>
          <w:color w:val="000000"/>
        </w:rPr>
      </w:r>
      <w:r>
        <w:rPr>
          <w:b/>
          <w:bCs/>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1440" w:left="1440"/>
        <w:jc w:val="both"/>
        <w:rPr>
          <w:color w:val="000000"/>
        </w:rPr>
      </w:pPr>
      <w:r>
        <w:rPr>
          <w:color w:val="000000"/>
        </w:rPr>
      </w:r>
      <w:r>
        <w:rPr>
          <w:color w:val="000000"/>
        </w:rPr>
      </w:r>
    </w:p>
    <w:p>
      <w:pPr>
        <w:pBdr>
          <w:top w:val="none" w:color="000000" w:sz="0" w:space="0"/>
          <w:left w:val="none" w:color="000000" w:sz="0" w:space="0"/>
          <w:bottom w:val="none" w:color="000000" w:sz="0" w:space="0"/>
          <w:right w:val="none" w:color="000000" w:sz="0" w:space="0"/>
          <w:between w:val="none" w:color="000000" w:sz="0" w:space="0"/>
        </w:pBdr>
        <w:spacing w:line="276" w:lineRule="auto"/>
        <w:ind w:hanging="1440" w:left="1440"/>
        <w:jc w:val="both"/>
        <w:rPr>
          <w:color w:val="000000"/>
        </w:rPr>
      </w:pPr>
      <w:r>
        <w:rPr>
          <w:b/>
          <w:bCs/>
          <w:color w:val="000000"/>
        </w:rPr>
        <w:t xml:space="preserve">ART. 4</w:t>
      </w:r>
      <w:r>
        <w:rPr>
          <w:b/>
          <w:bCs/>
        </w:rPr>
        <w:tab/>
      </w:r>
      <w:r>
        <w:rPr>
          <w:color w:val="000000"/>
        </w:rPr>
        <w:t xml:space="preserve">Il presente decreto viene trasmesso al Responsabile del procedimento di pubblicazione dei contenuti sul sito istituzionale a</w:t>
      </w:r>
      <w:r>
        <w:rPr>
          <w:color w:val="000000"/>
        </w:rPr>
        <w:t xml:space="preserve">i fini dell’assolvimento dell’obbligo di pubblicazione on line, nonché alla Ragioneria  Centrale  dell’Assessorato della Salute, per  il  visto  di  competenza,  ai sensi dell’art. 9 della L.R. 15 aprile 2021 n. 9; successivamente sarà pubblicato sul sito </w:t>
      </w:r>
      <w:hyperlink r:id="rId14" w:tooltip="http://www.euroinfosicilia.it/" w:history="1">
        <w:r>
          <w:rPr>
            <w:color w:val="000000"/>
            <w:u w:val="single"/>
          </w:rPr>
          <w:t xml:space="preserve">www.euroinfosicilia.it</w:t>
        </w:r>
      </w:hyperlink>
      <w:r>
        <w:rPr>
          <w:color w:val="000000"/>
        </w:rPr>
        <w:t xml:space="preserve">.</w:t>
      </w:r>
      <w:r>
        <w:rPr>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134"/>
        </w:tabs>
        <w:spacing/>
        <w:ind/>
        <w:jc w:val="both"/>
        <w:rPr>
          <w:color w:val="000000"/>
        </w:rPr>
      </w:pPr>
      <w:r>
        <w:t xml:space="preserve"> </w:t>
      </w:r>
      <w:r>
        <w:rPr>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134"/>
        </w:tabs>
        <w:spacing/>
        <w:ind/>
        <w:jc w:val="both"/>
        <w:rPr>
          <w:color w:val="000000"/>
        </w:rPr>
      </w:pPr>
      <w:r>
        <w:rPr>
          <w:color w:val="000000"/>
        </w:rPr>
        <w:t xml:space="preserve">All.1 – Disciplinare regolante i rapporti tra Regione siciliana e Beneficiario</w:t>
      </w:r>
      <w:r>
        <w:rPr>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134"/>
        </w:tabs>
        <w:spacing/>
        <w:ind/>
        <w:jc w:val="both"/>
        <w:rPr>
          <w:color w:val="000000"/>
        </w:rPr>
      </w:pPr>
      <w:r>
        <w:rPr>
          <w:color w:val="000000"/>
        </w:rPr>
      </w:r>
      <w:r>
        <w:rPr>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134"/>
        </w:tabs>
        <w:spacing/>
        <w:ind/>
        <w:jc w:val="both"/>
        <w:rPr>
          <w:color w:val="000000"/>
        </w:rPr>
      </w:pPr>
      <w:r>
        <w:rPr>
          <w:color w:val="000000"/>
        </w:rPr>
      </w:r>
      <w:r>
        <w:rPr>
          <w:color w:val="000000"/>
        </w:rPr>
      </w:r>
    </w:p>
    <w:p>
      <w:pPr>
        <w:pBdr>
          <w:top w:val="none" w:color="000000" w:sz="0" w:space="0"/>
          <w:left w:val="none" w:color="000000" w:sz="0" w:space="0"/>
          <w:bottom w:val="none" w:color="000000" w:sz="0" w:space="0"/>
          <w:right w:val="none" w:color="000000" w:sz="0" w:space="0"/>
          <w:between w:val="none" w:color="000000" w:sz="0" w:space="0"/>
        </w:pBdr>
        <w:tabs>
          <w:tab w:val="left" w:leader="none" w:pos="1134"/>
        </w:tabs>
        <w:spacing/>
        <w:ind/>
        <w:jc w:val="both"/>
        <w:rPr>
          <w:b/>
          <w:bCs/>
          <w:color w:val="000000"/>
        </w:rPr>
      </w:pPr>
      <w:r>
        <w:rPr>
          <w:color w:val="000000"/>
        </w:rPr>
        <w:t xml:space="preserve">Palermo, lì</w:t>
      </w:r>
      <w:r>
        <w:rPr>
          <w:b/>
          <w:bCs/>
          <w:color w:val="000000"/>
        </w:rPr>
        <w:tab/>
      </w:r>
      <w:r>
        <w:rPr>
          <w:b/>
          <w:bCs/>
          <w:color w:val="000000"/>
        </w:rPr>
        <w:tab/>
      </w:r>
      <w:r>
        <w:rPr>
          <w:b/>
          <w:bCs/>
          <w:color w:val="000000"/>
        </w:rPr>
        <w:tab/>
      </w:r>
      <w:r>
        <w:rPr>
          <w:b/>
          <w:bCs/>
          <w:color w:val="000000"/>
        </w:rPr>
        <w:tab/>
        <w:t xml:space="preserve">             </w:t>
      </w:r>
      <w:r>
        <w:rPr>
          <w:b/>
          <w:bCs/>
          <w:color w:val="000000"/>
        </w:rPr>
      </w:r>
    </w:p>
    <w:p>
      <w:pPr>
        <w:pBdr/>
        <w:tabs>
          <w:tab w:val="left" w:leader="none" w:pos="559"/>
        </w:tabs>
        <w:spacing/>
        <w:ind w:right="135" w:hanging="1140" w:left="1417"/>
        <w:jc w:val="both"/>
        <w:rPr/>
      </w:pPr>
      <w:r>
        <w:tab/>
      </w:r>
      <w:r>
        <w:tab/>
      </w:r>
      <w:r>
        <w:tab/>
      </w:r>
      <w:r>
        <w:tab/>
      </w:r>
      <w:r>
        <w:tab/>
      </w:r>
      <w:r>
        <w:tab/>
      </w:r>
      <w:r>
        <w:tab/>
      </w:r>
      <w:r>
        <w:tab/>
      </w:r>
      <w:r>
        <w:tab/>
      </w:r>
      <w:r>
        <w:tab/>
      </w:r>
      <w:r>
        <w:tab/>
      </w:r>
      <w:r>
        <w:tab/>
      </w:r>
      <w:r>
        <w:tab/>
        <w:t xml:space="preserve">            </w:t>
      </w:r>
      <w:r/>
    </w:p>
    <w:p>
      <w:pPr>
        <w:pBdr/>
        <w:spacing w:before="82"/>
        <w:ind/>
        <w:jc w:val="both"/>
        <w:rPr>
          <w:b/>
          <w:bCs/>
        </w:rPr>
      </w:pPr>
      <w:r>
        <w:rPr>
          <w:b/>
          <w:bCs/>
        </w:rPr>
      </w:r>
      <w:r>
        <w:rPr>
          <w:b/>
          <w:bCs/>
        </w:rPr>
      </w:r>
    </w:p>
    <w:p>
      <w:pPr>
        <w:pBdr/>
        <w:spacing w:before="82"/>
        <w:ind/>
        <w:jc w:val="both"/>
        <w:rPr>
          <w:b/>
          <w:bCs/>
        </w:rPr>
      </w:pPr>
      <w:r>
        <w:rPr>
          <w:b/>
          <w:bCs/>
        </w:rPr>
      </w:r>
      <w:r>
        <w:rPr>
          <w:b/>
          <w:bCs/>
        </w:rPr>
      </w:r>
    </w:p>
    <w:p>
      <w:pPr>
        <w:pBdr/>
        <w:spacing w:before="82"/>
        <w:ind/>
        <w:jc w:val="both"/>
        <w:rPr>
          <w:b/>
          <w:bCs/>
        </w:rPr>
      </w:pPr>
      <w:r>
        <w:t xml:space="preserve">  </w:t>
      </w:r>
      <w:r>
        <w:rPr>
          <w:b/>
          <w:bCs/>
        </w:rPr>
        <w:t xml:space="preserve">Il Dirigente del Servizio 3</w:t>
      </w:r>
      <w:r>
        <w:rPr>
          <w:b/>
          <w:bCs/>
        </w:rPr>
        <w:tab/>
      </w:r>
      <w:r>
        <w:rPr>
          <w:b/>
          <w:bCs/>
        </w:rPr>
        <w:tab/>
      </w:r>
      <w:r>
        <w:rPr>
          <w:b/>
          <w:bCs/>
        </w:rPr>
        <w:tab/>
      </w:r>
      <w:r>
        <w:rPr>
          <w:b/>
          <w:bCs/>
        </w:rPr>
        <w:tab/>
      </w:r>
      <w:r>
        <w:rPr>
          <w:b/>
          <w:bCs/>
        </w:rPr>
        <w:tab/>
      </w:r>
      <w:r>
        <w:rPr>
          <w:b/>
          <w:bCs/>
        </w:rPr>
        <w:tab/>
      </w:r>
      <w:r>
        <w:rPr>
          <w:b/>
          <w:bCs/>
        </w:rPr>
      </w:r>
    </w:p>
    <w:p>
      <w:pPr>
        <w:pBdr/>
        <w:tabs>
          <w:tab w:val="left" w:leader="none" w:pos="559"/>
        </w:tabs>
        <w:spacing/>
        <w:ind w:right="135" w:hanging="1140" w:left="1417"/>
        <w:jc w:val="both"/>
        <w:rPr>
          <w:b/>
          <w:bCs/>
          <w:i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Il Dirigente Generale</w:t>
      </w:r>
      <w:r>
        <w:rPr>
          <w:b/>
          <w:bCs/>
          <w:iCs/>
        </w:rPr>
      </w:r>
    </w:p>
    <w:p>
      <w:pPr>
        <w:pBdr/>
        <w:tabs>
          <w:tab w:val="left" w:leader="none" w:pos="559"/>
        </w:tabs>
        <w:spacing/>
        <w:ind w:right="135" w:hanging="1140" w:left="1417"/>
        <w:jc w:val="both"/>
        <w:rPr>
          <w:i/>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i/>
        </w:rPr>
      </w:r>
    </w:p>
    <w:p>
      <w:pPr>
        <w:pStyle w:val="824"/>
        <w:pBdr/>
        <w:spacing/>
        <w:ind/>
        <w:jc w:val="both"/>
        <w:rPr>
          <w:b/>
        </w:rPr>
      </w:pPr>
      <w:r>
        <w:rPr>
          <w:b/>
        </w:rPr>
      </w:r>
      <w:r>
        <w:rPr>
          <w:b/>
        </w:rPr>
      </w:r>
    </w:p>
    <w:p>
      <w:pPr>
        <w:pStyle w:val="824"/>
        <w:pBdr/>
        <w:spacing/>
        <w:ind/>
        <w:jc w:val="both"/>
        <w:rPr>
          <w:b/>
        </w:rPr>
      </w:pPr>
      <w:r>
        <w:rPr>
          <w:b/>
        </w:rPr>
      </w:r>
      <w:r>
        <w:rPr>
          <w:b/>
        </w:rPr>
      </w:r>
    </w:p>
    <w:p>
      <w:pPr>
        <w:pStyle w:val="824"/>
        <w:pBdr/>
        <w:spacing w:before="84"/>
        <w:ind/>
        <w:jc w:val="both"/>
        <w:rPr>
          <w:b/>
        </w:rPr>
      </w:pPr>
      <w:r>
        <w:rPr>
          <w:b/>
        </w:rPr>
      </w:r>
      <w:r>
        <w:rPr>
          <w:b/>
        </w:rPr>
      </w:r>
    </w:p>
    <w:p>
      <w:pPr>
        <w:pStyle w:val="824"/>
        <w:pBdr/>
        <w:spacing w:before="1"/>
        <w:ind w:right="282"/>
        <w:jc w:val="right"/>
        <w:rPr/>
      </w:pPr>
      <w:r/>
      <w:r/>
    </w:p>
    <w:p>
      <w:pPr>
        <w:pStyle w:val="824"/>
        <w:pBdr/>
        <w:spacing w:before="1"/>
        <w:ind w:right="282"/>
        <w:jc w:val="right"/>
        <w:rPr/>
      </w:pPr>
      <w:r/>
      <w:r/>
    </w:p>
    <w:sectPr>
      <w:headerReference w:type="default" r:id="rId9"/>
      <w:headerReference w:type="even" r:id="rId10"/>
      <w:footerReference w:type="default" r:id="rId11"/>
      <w:footerReference w:type="even" r:id="rId12"/>
      <w:footnotePr/>
      <w:endnotePr/>
      <w:type w:val="nextPage"/>
      <w:pgSz w:h="16840" w:orient="portrait" w:w="11910"/>
      <w:pgMar w:top="720" w:right="720" w:bottom="720" w:left="720" w:header="0" w:footer="0" w:gutter="0"/>
      <w:pgNumType w:start="58"/>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panose1 w:val="020B0004020202020204"/>
  </w:font>
  <w:font w:name="Wingdings">
    <w:panose1 w:val="05000000000000000000"/>
  </w:font>
  <w:font w:name="Symbol">
    <w:panose1 w:val="05050102010706020507"/>
  </w:font>
  <w:font w:name="Courier New">
    <w:panose1 w:val="02070309020205020404"/>
  </w:font>
  <w:font w:name="Times New Roman">
    <w:panose1 w:val="02020603050405020304"/>
  </w:font>
  <w:font w:name="Calibri">
    <w:panose1 w:val="020F050202020403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4"/>
      <w:pBdr/>
      <w:spacing w:line="14" w:lineRule="auto"/>
      <w:ind/>
      <w:rPr>
        <w:sz w:val="2"/>
      </w:rPr>
    </w:pPr>
    <w:r>
      <w:rPr>
        <w:sz w:val="2"/>
      </w:rPr>
    </w:r>
    <w:r>
      <w:rPr>
        <w:sz w:val="2"/>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4"/>
      <w:pBdr/>
      <w:spacing w:line="14" w:lineRule="auto"/>
      <w:ind/>
      <w:rPr>
        <w:sz w:val="2"/>
      </w:rPr>
    </w:pPr>
    <w:r>
      <w:rPr>
        <w:sz w:val="2"/>
      </w:rPr>
    </w:r>
    <w:r>
      <w:rPr>
        <w:sz w:val="2"/>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4"/>
      <w:pBdr/>
      <w:spacing w:line="14" w:lineRule="auto"/>
      <w:ind/>
      <w:rPr>
        <w:sz w:val="2"/>
      </w:rPr>
    </w:pPr>
    <w:r>
      <w:rPr>
        <w:sz w:val="2"/>
      </w:rPr>
    </w:r>
    <w:r>
      <w:rPr>
        <w:sz w:val="2"/>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4"/>
      <w:pBdr/>
      <w:spacing w:line="14" w:lineRule="auto"/>
      <w:ind/>
      <w:rPr>
        <w:sz w:val="2"/>
      </w:rPr>
    </w:pPr>
    <w:r>
      <w:rPr>
        <w:sz w:val="2"/>
      </w:rPr>
    </w:r>
    <w:r>
      <w:rPr>
        <w:sz w:val="2"/>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1">
    <w:lvl w:ilvl="0">
      <w:isLgl w:val="false"/>
      <w:lvlJc w:val="left"/>
      <w:lvlText w:val="-"/>
      <w:numFmt w:val="bullet"/>
      <w:pPr>
        <w:pBdr/>
        <w:spacing/>
        <w:ind w:hanging="360" w:left="1440"/>
      </w:pPr>
      <w:rPr>
        <w:u w:val="none"/>
      </w:rPr>
      <w:start w:val="1"/>
      <w:suff w:val="tab"/>
    </w:lvl>
    <w:lvl w:ilvl="1">
      <w:isLgl w:val="false"/>
      <w:lvlJc w:val="left"/>
      <w:lvlText w:val="-"/>
      <w:numFmt w:val="bullet"/>
      <w:pPr>
        <w:pBdr/>
        <w:spacing/>
        <w:ind w:hanging="360" w:left="2160"/>
      </w:pPr>
      <w:rPr>
        <w:u w:val="none"/>
      </w:rPr>
      <w:start w:val="1"/>
      <w:suff w:val="tab"/>
    </w:lvl>
    <w:lvl w:ilvl="2">
      <w:isLgl w:val="false"/>
      <w:lvlJc w:val="left"/>
      <w:lvlText w:val="-"/>
      <w:numFmt w:val="bullet"/>
      <w:pPr>
        <w:pBdr/>
        <w:spacing/>
        <w:ind w:hanging="360" w:left="2880"/>
      </w:pPr>
      <w:rPr>
        <w:u w:val="none"/>
      </w:rPr>
      <w:start w:val="1"/>
      <w:suff w:val="tab"/>
    </w:lvl>
    <w:lvl w:ilvl="3">
      <w:isLgl w:val="false"/>
      <w:lvlJc w:val="left"/>
      <w:lvlText w:val="-"/>
      <w:numFmt w:val="bullet"/>
      <w:pPr>
        <w:pBdr/>
        <w:spacing/>
        <w:ind w:hanging="360" w:left="3600"/>
      </w:pPr>
      <w:rPr>
        <w:u w:val="none"/>
      </w:rPr>
      <w:start w:val="1"/>
      <w:suff w:val="tab"/>
    </w:lvl>
    <w:lvl w:ilvl="4">
      <w:isLgl w:val="false"/>
      <w:lvlJc w:val="left"/>
      <w:lvlText w:val="-"/>
      <w:numFmt w:val="bullet"/>
      <w:pPr>
        <w:pBdr/>
        <w:spacing/>
        <w:ind w:hanging="360" w:left="4320"/>
      </w:pPr>
      <w:rPr>
        <w:u w:val="none"/>
      </w:rPr>
      <w:start w:val="1"/>
      <w:suff w:val="tab"/>
    </w:lvl>
    <w:lvl w:ilvl="5">
      <w:isLgl w:val="false"/>
      <w:lvlJc w:val="left"/>
      <w:lvlText w:val="-"/>
      <w:numFmt w:val="bullet"/>
      <w:pPr>
        <w:pBdr/>
        <w:spacing/>
        <w:ind w:hanging="360" w:left="5040"/>
      </w:pPr>
      <w:rPr>
        <w:u w:val="none"/>
      </w:rPr>
      <w:start w:val="1"/>
      <w:suff w:val="tab"/>
    </w:lvl>
    <w:lvl w:ilvl="6">
      <w:isLgl w:val="false"/>
      <w:lvlJc w:val="left"/>
      <w:lvlText w:val="-"/>
      <w:numFmt w:val="bullet"/>
      <w:pPr>
        <w:pBdr/>
        <w:spacing/>
        <w:ind w:hanging="360" w:left="5760"/>
      </w:pPr>
      <w:rPr>
        <w:u w:val="none"/>
      </w:rPr>
      <w:start w:val="1"/>
      <w:suff w:val="tab"/>
    </w:lvl>
    <w:lvl w:ilvl="7">
      <w:isLgl w:val="false"/>
      <w:lvlJc w:val="left"/>
      <w:lvlText w:val="-"/>
      <w:numFmt w:val="bullet"/>
      <w:pPr>
        <w:pBdr/>
        <w:spacing/>
        <w:ind w:hanging="360" w:left="6480"/>
      </w:pPr>
      <w:rPr>
        <w:u w:val="none"/>
      </w:rPr>
      <w:start w:val="1"/>
      <w:suff w:val="tab"/>
    </w:lvl>
    <w:lvl w:ilvl="8">
      <w:isLgl w:val="false"/>
      <w:lvlJc w:val="left"/>
      <w:lvlText w:val="-"/>
      <w:numFmt w:val="bullet"/>
      <w:pPr>
        <w:pBdr/>
        <w:spacing/>
        <w:ind w:hanging="360" w:left="7200"/>
      </w:pPr>
      <w:rPr>
        <w:u w:val="none"/>
      </w:rPr>
      <w:start w:val="1"/>
      <w:suff w:val="tab"/>
    </w:lvl>
  </w:abstractNum>
  <w:abstractNum w:abstractNumId="2">
    <w:lvl w:ilvl="0">
      <w:isLgl w:val="false"/>
      <w:lvlJc w:val="left"/>
      <w:lvlText w:val="·"/>
      <w:numFmt w:val="bullet"/>
      <w:pPr>
        <w:pBdr/>
        <w:spacing/>
        <w:ind w:hanging="360" w:left="2160"/>
      </w:pPr>
      <w:rPr>
        <w:rFonts w:hint="default" w:ascii="Symbol" w:hAnsi="Symbol" w:eastAsia="Symbol" w:cs="Symbol"/>
      </w:rPr>
      <w:start w:val="1"/>
      <w:suff w:val="tab"/>
    </w:lvl>
    <w:lvl w:ilvl="1">
      <w:isLgl w:val="false"/>
      <w:lvlJc w:val="left"/>
      <w:lvlText w:val="o"/>
      <w:numFmt w:val="bullet"/>
      <w:pPr>
        <w:pBdr/>
        <w:spacing/>
        <w:ind w:hanging="360" w:left="2880"/>
      </w:pPr>
      <w:rPr>
        <w:rFonts w:hint="default" w:ascii="Courier New" w:hAnsi="Courier New" w:eastAsia="Courier New" w:cs="Courier New"/>
      </w:rPr>
      <w:start w:val="1"/>
      <w:suff w:val="tab"/>
    </w:lvl>
    <w:lvl w:ilvl="2">
      <w:isLgl w:val="false"/>
      <w:lvlJc w:val="left"/>
      <w:lvlText w:val="§"/>
      <w:numFmt w:val="bullet"/>
      <w:pPr>
        <w:pBdr/>
        <w:spacing/>
        <w:ind w:hanging="360" w:left="3600"/>
      </w:pPr>
      <w:rPr>
        <w:rFonts w:hint="default" w:ascii="Wingdings" w:hAnsi="Wingdings" w:eastAsia="Wingdings" w:cs="Wingdings"/>
      </w:rPr>
      <w:start w:val="1"/>
      <w:suff w:val="tab"/>
    </w:lvl>
    <w:lvl w:ilvl="3">
      <w:isLgl w:val="false"/>
      <w:lvlJc w:val="left"/>
      <w:lvlText w:val="·"/>
      <w:numFmt w:val="bullet"/>
      <w:pPr>
        <w:pBdr/>
        <w:spacing/>
        <w:ind w:hanging="360" w:left="4320"/>
      </w:pPr>
      <w:rPr>
        <w:rFonts w:hint="default" w:ascii="Symbol" w:hAnsi="Symbol" w:eastAsia="Symbol" w:cs="Symbol"/>
      </w:rPr>
      <w:start w:val="1"/>
      <w:suff w:val="tab"/>
    </w:lvl>
    <w:lvl w:ilvl="4">
      <w:isLgl w:val="false"/>
      <w:lvlJc w:val="left"/>
      <w:lvlText w:val="o"/>
      <w:numFmt w:val="bullet"/>
      <w:pPr>
        <w:pBdr/>
        <w:spacing/>
        <w:ind w:hanging="360" w:left="5040"/>
      </w:pPr>
      <w:rPr>
        <w:rFonts w:hint="default" w:ascii="Courier New" w:hAnsi="Courier New" w:eastAsia="Courier New" w:cs="Courier New"/>
      </w:rPr>
      <w:start w:val="1"/>
      <w:suff w:val="tab"/>
    </w:lvl>
    <w:lvl w:ilvl="5">
      <w:isLgl w:val="false"/>
      <w:lvlJc w:val="left"/>
      <w:lvlText w:val="§"/>
      <w:numFmt w:val="bullet"/>
      <w:pPr>
        <w:pBdr/>
        <w:spacing/>
        <w:ind w:hanging="360" w:left="5760"/>
      </w:pPr>
      <w:rPr>
        <w:rFonts w:hint="default" w:ascii="Wingdings" w:hAnsi="Wingdings" w:eastAsia="Wingdings" w:cs="Wingdings"/>
      </w:rPr>
      <w:start w:val="1"/>
      <w:suff w:val="tab"/>
    </w:lvl>
    <w:lvl w:ilvl="6">
      <w:isLgl w:val="false"/>
      <w:lvlJc w:val="left"/>
      <w:lvlText w:val="·"/>
      <w:numFmt w:val="bullet"/>
      <w:pPr>
        <w:pBdr/>
        <w:spacing/>
        <w:ind w:hanging="360" w:left="6480"/>
      </w:pPr>
      <w:rPr>
        <w:rFonts w:hint="default" w:ascii="Symbol" w:hAnsi="Symbol" w:eastAsia="Symbol" w:cs="Symbol"/>
      </w:rPr>
      <w:start w:val="1"/>
      <w:suff w:val="tab"/>
    </w:lvl>
    <w:lvl w:ilvl="7">
      <w:isLgl w:val="false"/>
      <w:lvlJc w:val="left"/>
      <w:lvlText w:val="o"/>
      <w:numFmt w:val="bullet"/>
      <w:pPr>
        <w:pBdr/>
        <w:spacing/>
        <w:ind w:hanging="360" w:left="7200"/>
      </w:pPr>
      <w:rPr>
        <w:rFonts w:hint="default" w:ascii="Courier New" w:hAnsi="Courier New" w:eastAsia="Courier New" w:cs="Courier New"/>
      </w:rPr>
      <w:start w:val="1"/>
      <w:suff w:val="tab"/>
    </w:lvl>
    <w:lvl w:ilvl="8">
      <w:isLgl w:val="false"/>
      <w:lvlJc w:val="left"/>
      <w:lvlText w:val="§"/>
      <w:numFmt w:val="bullet"/>
      <w:pPr>
        <w:pBdr/>
        <w:spacing/>
        <w:ind w:hanging="360" w:left="7920"/>
      </w:pPr>
      <w:rPr>
        <w:rFonts w:hint="default" w:ascii="Wingdings" w:hAnsi="Wingdings" w:eastAsia="Wingdings" w:cs="Wingdings"/>
      </w:rPr>
      <w:start w:val="1"/>
      <w:suff w:val="tab"/>
    </w:lvl>
  </w:abstractNum>
  <w:abstractNum w:abstractNumId="3">
    <w:lvl w:ilvl="0">
      <w:isLgl w:val="false"/>
      <w:lvlJc w:val="left"/>
      <w:lvlText w:val="·"/>
      <w:numFmt w:val="bullet"/>
      <w:pPr>
        <w:pBdr/>
        <w:spacing/>
        <w:ind w:hanging="360" w:left="2160"/>
      </w:pPr>
      <w:rPr>
        <w:rFonts w:hint="default" w:ascii="Symbol" w:hAnsi="Symbol" w:eastAsia="Symbol" w:cs="Symbol"/>
      </w:rPr>
      <w:start w:val="1"/>
      <w:suff w:val="tab"/>
    </w:lvl>
    <w:lvl w:ilvl="1">
      <w:isLgl w:val="false"/>
      <w:lvlJc w:val="left"/>
      <w:lvlText w:val="o"/>
      <w:numFmt w:val="bullet"/>
      <w:pPr>
        <w:pBdr/>
        <w:spacing/>
        <w:ind w:hanging="360" w:left="2880"/>
      </w:pPr>
      <w:rPr>
        <w:rFonts w:hint="default" w:ascii="Courier New" w:hAnsi="Courier New" w:eastAsia="Courier New" w:cs="Courier New"/>
      </w:rPr>
      <w:start w:val="1"/>
      <w:suff w:val="tab"/>
    </w:lvl>
    <w:lvl w:ilvl="2">
      <w:isLgl w:val="false"/>
      <w:lvlJc w:val="left"/>
      <w:lvlText w:val="§"/>
      <w:numFmt w:val="bullet"/>
      <w:pPr>
        <w:pBdr/>
        <w:spacing/>
        <w:ind w:hanging="360" w:left="3600"/>
      </w:pPr>
      <w:rPr>
        <w:rFonts w:hint="default" w:ascii="Wingdings" w:hAnsi="Wingdings" w:eastAsia="Wingdings" w:cs="Wingdings"/>
      </w:rPr>
      <w:start w:val="1"/>
      <w:suff w:val="tab"/>
    </w:lvl>
    <w:lvl w:ilvl="3">
      <w:isLgl w:val="false"/>
      <w:lvlJc w:val="left"/>
      <w:lvlText w:val="·"/>
      <w:numFmt w:val="bullet"/>
      <w:pPr>
        <w:pBdr/>
        <w:spacing/>
        <w:ind w:hanging="360" w:left="4320"/>
      </w:pPr>
      <w:rPr>
        <w:rFonts w:hint="default" w:ascii="Symbol" w:hAnsi="Symbol" w:eastAsia="Symbol" w:cs="Symbol"/>
      </w:rPr>
      <w:start w:val="1"/>
      <w:suff w:val="tab"/>
    </w:lvl>
    <w:lvl w:ilvl="4">
      <w:isLgl w:val="false"/>
      <w:lvlJc w:val="left"/>
      <w:lvlText w:val="o"/>
      <w:numFmt w:val="bullet"/>
      <w:pPr>
        <w:pBdr/>
        <w:spacing/>
        <w:ind w:hanging="360" w:left="5040"/>
      </w:pPr>
      <w:rPr>
        <w:rFonts w:hint="default" w:ascii="Courier New" w:hAnsi="Courier New" w:eastAsia="Courier New" w:cs="Courier New"/>
      </w:rPr>
      <w:start w:val="1"/>
      <w:suff w:val="tab"/>
    </w:lvl>
    <w:lvl w:ilvl="5">
      <w:isLgl w:val="false"/>
      <w:lvlJc w:val="left"/>
      <w:lvlText w:val="§"/>
      <w:numFmt w:val="bullet"/>
      <w:pPr>
        <w:pBdr/>
        <w:spacing/>
        <w:ind w:hanging="360" w:left="5760"/>
      </w:pPr>
      <w:rPr>
        <w:rFonts w:hint="default" w:ascii="Wingdings" w:hAnsi="Wingdings" w:eastAsia="Wingdings" w:cs="Wingdings"/>
      </w:rPr>
      <w:start w:val="1"/>
      <w:suff w:val="tab"/>
    </w:lvl>
    <w:lvl w:ilvl="6">
      <w:isLgl w:val="false"/>
      <w:lvlJc w:val="left"/>
      <w:lvlText w:val="·"/>
      <w:numFmt w:val="bullet"/>
      <w:pPr>
        <w:pBdr/>
        <w:spacing/>
        <w:ind w:hanging="360" w:left="6480"/>
      </w:pPr>
      <w:rPr>
        <w:rFonts w:hint="default" w:ascii="Symbol" w:hAnsi="Symbol" w:eastAsia="Symbol" w:cs="Symbol"/>
      </w:rPr>
      <w:start w:val="1"/>
      <w:suff w:val="tab"/>
    </w:lvl>
    <w:lvl w:ilvl="7">
      <w:isLgl w:val="false"/>
      <w:lvlJc w:val="left"/>
      <w:lvlText w:val="o"/>
      <w:numFmt w:val="bullet"/>
      <w:pPr>
        <w:pBdr/>
        <w:spacing/>
        <w:ind w:hanging="360" w:left="7200"/>
      </w:pPr>
      <w:rPr>
        <w:rFonts w:hint="default" w:ascii="Courier New" w:hAnsi="Courier New" w:eastAsia="Courier New" w:cs="Courier New"/>
      </w:rPr>
      <w:start w:val="1"/>
      <w:suff w:val="tab"/>
    </w:lvl>
    <w:lvl w:ilvl="8">
      <w:isLgl w:val="false"/>
      <w:lvlJc w:val="left"/>
      <w:lvlText w:val="§"/>
      <w:numFmt w:val="bullet"/>
      <w:pPr>
        <w:pBdr/>
        <w:spacing/>
        <w:ind w:hanging="360" w:left="7920"/>
      </w:pPr>
      <w:rPr>
        <w:rFonts w:hint="default" w:ascii="Wingdings" w:hAnsi="Wingdings" w:eastAsia="Wingdings" w:cs="Wingdings"/>
      </w:rPr>
      <w:start w:val="1"/>
      <w:suff w:val="tab"/>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283"/>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widowControl w:val="false"/>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Light"/>
    <w:basedOn w:val="755"/>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 Accent 1"/>
    <w:basedOn w:val="7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2"/>
    <w:basedOn w:val="7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3"/>
    <w:basedOn w:val="7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4"/>
    <w:basedOn w:val="7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5"/>
    <w:basedOn w:val="7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6"/>
    <w:basedOn w:val="7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 Accent 1"/>
    <w:basedOn w:val="7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2"/>
    <w:basedOn w:val="7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3"/>
    <w:basedOn w:val="7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4"/>
    <w:basedOn w:val="7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5"/>
    <w:basedOn w:val="7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6"/>
    <w:basedOn w:val="7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 Accent 1"/>
    <w:basedOn w:val="7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2"/>
    <w:basedOn w:val="7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3"/>
    <w:basedOn w:val="7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4"/>
    <w:basedOn w:val="7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5"/>
    <w:basedOn w:val="7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6"/>
    <w:basedOn w:val="7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 Accent 1"/>
    <w:basedOn w:val="75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2"/>
    <w:basedOn w:val="75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3"/>
    <w:basedOn w:val="75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4"/>
    <w:basedOn w:val="75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5"/>
    <w:basedOn w:val="75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6"/>
    <w:basedOn w:val="75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Accent 1"/>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 Accent 2"/>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3"/>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Accent 4"/>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 Accent 5"/>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6"/>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 Accent 1"/>
    <w:basedOn w:val="75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5">
    <w:name w:val="Grid Table 6 Colorful - Accent 2"/>
    <w:basedOn w:val="7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6">
    <w:name w:val="Grid Table 6 Colorful - Accent 3"/>
    <w:basedOn w:val="75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7">
    <w:name w:val="Grid Table 6 Colorful - Accent 4"/>
    <w:basedOn w:val="7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8">
    <w:name w:val="Grid Table 6 Colorful - Accent 5"/>
    <w:basedOn w:val="75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59">
    <w:name w:val="Grid Table 6 Colorful - Accent 6"/>
    <w:basedOn w:val="75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 Accent 1"/>
    <w:basedOn w:val="75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2"/>
    <w:basedOn w:val="75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3"/>
    <w:basedOn w:val="75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4"/>
    <w:basedOn w:val="75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5"/>
    <w:basedOn w:val="75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6"/>
    <w:basedOn w:val="75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 Accent 1"/>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2"/>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3"/>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4"/>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5"/>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6"/>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 Accent 1"/>
    <w:basedOn w:val="75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2"/>
    <w:basedOn w:val="75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3"/>
    <w:basedOn w:val="75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4"/>
    <w:basedOn w:val="75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5"/>
    <w:basedOn w:val="75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6"/>
    <w:basedOn w:val="75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 Accent 1"/>
    <w:basedOn w:val="75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2"/>
    <w:basedOn w:val="7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3"/>
    <w:basedOn w:val="75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4"/>
    <w:basedOn w:val="7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5"/>
    <w:basedOn w:val="75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6"/>
    <w:basedOn w:val="75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 Accent 1"/>
    <w:basedOn w:val="75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2"/>
    <w:basedOn w:val="75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3"/>
    <w:basedOn w:val="75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4"/>
    <w:basedOn w:val="75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5"/>
    <w:basedOn w:val="75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6"/>
    <w:basedOn w:val="75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 Accent 1"/>
    <w:basedOn w:val="75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2"/>
    <w:basedOn w:val="75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3"/>
    <w:basedOn w:val="75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4"/>
    <w:basedOn w:val="75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5"/>
    <w:basedOn w:val="75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6"/>
    <w:basedOn w:val="75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 Accent 1"/>
    <w:basedOn w:val="75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2"/>
    <w:basedOn w:val="75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3"/>
    <w:basedOn w:val="75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4"/>
    <w:basedOn w:val="75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5"/>
    <w:basedOn w:val="75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6"/>
    <w:basedOn w:val="75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 Accent 1"/>
    <w:basedOn w:val="75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1">
    <w:name w:val="List Table 7 Colorful - Accent 2"/>
    <w:basedOn w:val="75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2">
    <w:name w:val="List Table 7 Colorful - Accent 3"/>
    <w:basedOn w:val="75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3">
    <w:name w:val="List Table 7 Colorful - Accent 4"/>
    <w:basedOn w:val="75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4">
    <w:name w:val="List Table 7 Colorful - Accent 5"/>
    <w:basedOn w:val="75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5">
    <w:name w:val="List Table 7 Colorful - Accent 6"/>
    <w:basedOn w:val="75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6">
    <w:name w:val="Lined - Accent"/>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ned - Accent 1"/>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2"/>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3"/>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4"/>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5"/>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6"/>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Bordered &amp; Lined - Accent"/>
    <w:basedOn w:val="75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1"/>
    <w:basedOn w:val="75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2"/>
    <w:basedOn w:val="75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3"/>
    <w:basedOn w:val="75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4"/>
    <w:basedOn w:val="75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5"/>
    <w:basedOn w:val="75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6"/>
    <w:basedOn w:val="75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w:basedOn w:val="75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 Accent 1"/>
    <w:basedOn w:val="7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2"/>
    <w:basedOn w:val="7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3"/>
    <w:basedOn w:val="7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4"/>
    <w:basedOn w:val="7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5"/>
    <w:basedOn w:val="7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6"/>
    <w:basedOn w:val="7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49">
    <w:name w:val="Heading 1 Char"/>
    <w:basedOn w:val="754"/>
    <w:link w:val="745"/>
    <w:uiPriority w:val="9"/>
    <w:pPr>
      <w:pBdr/>
      <w:spacing/>
      <w:ind/>
    </w:pPr>
    <w:rPr>
      <w:rFonts w:ascii="Arial" w:hAnsi="Arial" w:eastAsia="Arial" w:cs="Arial"/>
      <w:color w:val="0f4761" w:themeColor="accent1" w:themeShade="BF"/>
      <w:sz w:val="40"/>
      <w:szCs w:val="40"/>
    </w:rPr>
  </w:style>
  <w:style w:type="character" w:styleId="150">
    <w:name w:val="Heading 2 Char"/>
    <w:basedOn w:val="754"/>
    <w:link w:val="746"/>
    <w:uiPriority w:val="9"/>
    <w:pPr>
      <w:pBdr/>
      <w:spacing/>
      <w:ind/>
    </w:pPr>
    <w:rPr>
      <w:rFonts w:ascii="Arial" w:hAnsi="Arial" w:eastAsia="Arial" w:cs="Arial"/>
      <w:color w:val="0f4761" w:themeColor="accent1" w:themeShade="BF"/>
      <w:sz w:val="32"/>
      <w:szCs w:val="32"/>
    </w:rPr>
  </w:style>
  <w:style w:type="character" w:styleId="151">
    <w:name w:val="Heading 3 Char"/>
    <w:basedOn w:val="754"/>
    <w:link w:val="747"/>
    <w:uiPriority w:val="9"/>
    <w:pPr>
      <w:pBdr/>
      <w:spacing/>
      <w:ind/>
    </w:pPr>
    <w:rPr>
      <w:rFonts w:ascii="Arial" w:hAnsi="Arial" w:eastAsia="Arial" w:cs="Arial"/>
      <w:color w:val="0f4761" w:themeColor="accent1" w:themeShade="BF"/>
      <w:sz w:val="28"/>
      <w:szCs w:val="28"/>
    </w:rPr>
  </w:style>
  <w:style w:type="character" w:styleId="152">
    <w:name w:val="Heading 4 Char"/>
    <w:basedOn w:val="754"/>
    <w:link w:val="748"/>
    <w:uiPriority w:val="9"/>
    <w:pPr>
      <w:pBdr/>
      <w:spacing/>
      <w:ind/>
    </w:pPr>
    <w:rPr>
      <w:rFonts w:ascii="Arial" w:hAnsi="Arial" w:eastAsia="Arial" w:cs="Arial"/>
      <w:i/>
      <w:iCs/>
      <w:color w:val="0f4761" w:themeColor="accent1" w:themeShade="BF"/>
    </w:rPr>
  </w:style>
  <w:style w:type="character" w:styleId="153">
    <w:name w:val="Heading 5 Char"/>
    <w:basedOn w:val="754"/>
    <w:link w:val="749"/>
    <w:uiPriority w:val="9"/>
    <w:pPr>
      <w:pBdr/>
      <w:spacing/>
      <w:ind/>
    </w:pPr>
    <w:rPr>
      <w:rFonts w:ascii="Arial" w:hAnsi="Arial" w:eastAsia="Arial" w:cs="Arial"/>
      <w:color w:val="0f4761" w:themeColor="accent1" w:themeShade="BF"/>
    </w:rPr>
  </w:style>
  <w:style w:type="character" w:styleId="154">
    <w:name w:val="Heading 6 Char"/>
    <w:basedOn w:val="754"/>
    <w:link w:val="750"/>
    <w:uiPriority w:val="9"/>
    <w:pPr>
      <w:pBdr/>
      <w:spacing/>
      <w:ind/>
    </w:pPr>
    <w:rPr>
      <w:rFonts w:ascii="Arial" w:hAnsi="Arial" w:eastAsia="Arial" w:cs="Arial"/>
      <w:i/>
      <w:iCs/>
      <w:color w:val="595959" w:themeColor="text1" w:themeTint="A6"/>
    </w:rPr>
  </w:style>
  <w:style w:type="character" w:styleId="155">
    <w:name w:val="Heading 7 Char"/>
    <w:basedOn w:val="754"/>
    <w:link w:val="751"/>
    <w:uiPriority w:val="9"/>
    <w:pPr>
      <w:pBdr/>
      <w:spacing/>
      <w:ind/>
    </w:pPr>
    <w:rPr>
      <w:rFonts w:ascii="Arial" w:hAnsi="Arial" w:eastAsia="Arial" w:cs="Arial"/>
      <w:color w:val="595959" w:themeColor="text1" w:themeTint="A6"/>
    </w:rPr>
  </w:style>
  <w:style w:type="character" w:styleId="156">
    <w:name w:val="Heading 8 Char"/>
    <w:basedOn w:val="754"/>
    <w:link w:val="752"/>
    <w:uiPriority w:val="9"/>
    <w:pPr>
      <w:pBdr/>
      <w:spacing/>
      <w:ind/>
    </w:pPr>
    <w:rPr>
      <w:rFonts w:ascii="Arial" w:hAnsi="Arial" w:eastAsia="Arial" w:cs="Arial"/>
      <w:i/>
      <w:iCs/>
      <w:color w:val="272727" w:themeColor="text1" w:themeTint="D8"/>
    </w:rPr>
  </w:style>
  <w:style w:type="character" w:styleId="157">
    <w:name w:val="Heading 9 Char"/>
    <w:basedOn w:val="754"/>
    <w:link w:val="753"/>
    <w:uiPriority w:val="9"/>
    <w:pPr>
      <w:pBdr/>
      <w:spacing/>
      <w:ind/>
    </w:pPr>
    <w:rPr>
      <w:rFonts w:ascii="Arial" w:hAnsi="Arial" w:eastAsia="Arial" w:cs="Arial"/>
      <w:i/>
      <w:iCs/>
      <w:color w:val="272727" w:themeColor="text1" w:themeTint="D8"/>
    </w:rPr>
  </w:style>
  <w:style w:type="character" w:styleId="159">
    <w:name w:val="Title Char"/>
    <w:basedOn w:val="754"/>
    <w:link w:val="784"/>
    <w:uiPriority w:val="10"/>
    <w:pPr>
      <w:pBdr/>
      <w:spacing/>
      <w:ind/>
    </w:pPr>
    <w:rPr>
      <w:rFonts w:ascii="Arial" w:hAnsi="Arial" w:eastAsia="Arial" w:cs="Arial"/>
      <w:spacing w:val="-10"/>
      <w:sz w:val="56"/>
      <w:szCs w:val="56"/>
    </w:rPr>
  </w:style>
  <w:style w:type="character" w:styleId="161">
    <w:name w:val="Subtitle Char"/>
    <w:basedOn w:val="754"/>
    <w:link w:val="786"/>
    <w:uiPriority w:val="11"/>
    <w:pPr>
      <w:pBdr/>
      <w:spacing/>
      <w:ind/>
    </w:pPr>
    <w:rPr>
      <w:color w:val="595959" w:themeColor="text1" w:themeTint="A6"/>
      <w:spacing w:val="15"/>
      <w:sz w:val="28"/>
      <w:szCs w:val="28"/>
    </w:rPr>
  </w:style>
  <w:style w:type="character" w:styleId="163">
    <w:name w:val="Quote Char"/>
    <w:basedOn w:val="754"/>
    <w:link w:val="788"/>
    <w:uiPriority w:val="29"/>
    <w:pPr>
      <w:pBdr/>
      <w:spacing/>
      <w:ind/>
    </w:pPr>
    <w:rPr>
      <w:i/>
      <w:iCs/>
      <w:color w:val="404040" w:themeColor="text1" w:themeTint="BF"/>
    </w:rPr>
  </w:style>
  <w:style w:type="character" w:styleId="167">
    <w:name w:val="Intense Quote Char"/>
    <w:basedOn w:val="754"/>
    <w:link w:val="791"/>
    <w:uiPriority w:val="30"/>
    <w:pPr>
      <w:pBdr/>
      <w:spacing/>
      <w:ind/>
    </w:pPr>
    <w:rPr>
      <w:i/>
      <w:iCs/>
      <w:color w:val="0f4761" w:themeColor="accent1" w:themeShade="BF"/>
    </w:rPr>
  </w:style>
  <w:style w:type="character" w:styleId="176">
    <w:name w:val="Header Char"/>
    <w:basedOn w:val="754"/>
    <w:link w:val="800"/>
    <w:uiPriority w:val="99"/>
    <w:pPr>
      <w:pBdr/>
      <w:spacing/>
      <w:ind/>
    </w:pPr>
  </w:style>
  <w:style w:type="character" w:styleId="178">
    <w:name w:val="Footer Char"/>
    <w:basedOn w:val="754"/>
    <w:link w:val="802"/>
    <w:uiPriority w:val="99"/>
    <w:pPr>
      <w:pBdr/>
      <w:spacing/>
      <w:ind/>
    </w:pPr>
  </w:style>
  <w:style w:type="character" w:styleId="181">
    <w:name w:val="Footnote Text Char"/>
    <w:basedOn w:val="754"/>
    <w:link w:val="805"/>
    <w:uiPriority w:val="99"/>
    <w:semiHidden/>
    <w:pPr>
      <w:pBdr/>
      <w:spacing/>
      <w:ind/>
    </w:pPr>
    <w:rPr>
      <w:sz w:val="20"/>
      <w:szCs w:val="20"/>
    </w:rPr>
  </w:style>
  <w:style w:type="character" w:styleId="184">
    <w:name w:val="Endnote Text Char"/>
    <w:basedOn w:val="754"/>
    <w:link w:val="808"/>
    <w:uiPriority w:val="99"/>
    <w:semiHidden/>
    <w:pPr>
      <w:pBdr/>
      <w:spacing/>
      <w:ind/>
    </w:pPr>
    <w:rPr>
      <w:sz w:val="20"/>
      <w:szCs w:val="20"/>
    </w:rPr>
  </w:style>
  <w:style w:type="paragraph" w:styleId="744" w:default="1">
    <w:name w:val="Normal"/>
    <w:uiPriority w:val="1"/>
    <w:qFormat/>
    <w:pPr>
      <w:pBdr/>
      <w:spacing/>
      <w:ind/>
    </w:pPr>
    <w:rPr>
      <w:rFonts w:ascii="Calibri" w:hAnsi="Calibri" w:eastAsia="Calibri" w:cs="Calibri"/>
      <w:lang w:val="it-IT"/>
    </w:rPr>
  </w:style>
  <w:style w:type="paragraph" w:styleId="745">
    <w:name w:val="Heading 1"/>
    <w:basedOn w:val="744"/>
    <w:uiPriority w:val="1"/>
    <w:qFormat/>
    <w:pPr>
      <w:pBdr/>
      <w:spacing/>
      <w:ind w:left="-1"/>
      <w:jc w:val="center"/>
      <w:outlineLvl w:val="0"/>
    </w:pPr>
    <w:rPr>
      <w:b/>
      <w:bCs/>
    </w:rPr>
  </w:style>
  <w:style w:type="paragraph" w:styleId="746">
    <w:name w:val="Heading 2"/>
    <w:basedOn w:val="744"/>
    <w:uiPriority w:val="1"/>
    <w:qFormat/>
    <w:pPr>
      <w:pBdr/>
      <w:spacing/>
      <w:ind w:left="1131"/>
      <w:outlineLvl w:val="1"/>
    </w:pPr>
    <w:rPr>
      <w:b/>
      <w:bCs/>
    </w:rPr>
  </w:style>
  <w:style w:type="paragraph" w:styleId="747">
    <w:name w:val="Heading 3"/>
    <w:basedOn w:val="744"/>
    <w:next w:val="744"/>
    <w:link w:val="777"/>
    <w:uiPriority w:val="9"/>
    <w:unhideWhenUsed/>
    <w:qFormat/>
    <w:pPr>
      <w:keepNext w:val="true"/>
      <w:keepLines w:val="true"/>
      <w:pBdr/>
      <w:spacing w:after="80" w:before="160"/>
      <w:ind/>
      <w:outlineLvl w:val="2"/>
    </w:pPr>
    <w:rPr>
      <w:rFonts w:ascii="Arial" w:hAnsi="Arial" w:eastAsia="Arial" w:cs="Arial"/>
      <w:color w:val="365f91" w:themeColor="accent1" w:themeShade="BF"/>
      <w:sz w:val="28"/>
      <w:szCs w:val="28"/>
    </w:rPr>
  </w:style>
  <w:style w:type="paragraph" w:styleId="748">
    <w:name w:val="Heading 4"/>
    <w:basedOn w:val="744"/>
    <w:next w:val="744"/>
    <w:link w:val="778"/>
    <w:uiPriority w:val="9"/>
    <w:unhideWhenUsed/>
    <w:qFormat/>
    <w:pPr>
      <w:keepNext w:val="true"/>
      <w:keepLines w:val="true"/>
      <w:pBdr/>
      <w:spacing w:after="40" w:before="80"/>
      <w:ind/>
      <w:outlineLvl w:val="3"/>
    </w:pPr>
    <w:rPr>
      <w:rFonts w:ascii="Arial" w:hAnsi="Arial" w:eastAsia="Arial" w:cs="Arial"/>
      <w:i/>
      <w:iCs/>
      <w:color w:val="365f91" w:themeColor="accent1" w:themeShade="BF"/>
    </w:rPr>
  </w:style>
  <w:style w:type="paragraph" w:styleId="749">
    <w:name w:val="Heading 5"/>
    <w:basedOn w:val="744"/>
    <w:next w:val="744"/>
    <w:link w:val="779"/>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750">
    <w:name w:val="Heading 6"/>
    <w:basedOn w:val="744"/>
    <w:next w:val="744"/>
    <w:link w:val="780"/>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751">
    <w:name w:val="Heading 7"/>
    <w:basedOn w:val="744"/>
    <w:next w:val="744"/>
    <w:link w:val="781"/>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752">
    <w:name w:val="Heading 8"/>
    <w:basedOn w:val="744"/>
    <w:next w:val="744"/>
    <w:link w:val="782"/>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753">
    <w:name w:val="Heading 9"/>
    <w:basedOn w:val="744"/>
    <w:next w:val="744"/>
    <w:link w:val="783"/>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754" w:default="1">
    <w:name w:val="Default Paragraph Font"/>
    <w:uiPriority w:val="1"/>
    <w:semiHidden/>
    <w:unhideWhenUsed/>
    <w:pPr>
      <w:pBdr/>
      <w:spacing/>
      <w:ind/>
    </w:pPr>
  </w:style>
  <w:style w:type="table" w:styleId="755"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56" w:default="1">
    <w:name w:val="No List"/>
    <w:uiPriority w:val="99"/>
    <w:semiHidden/>
    <w:unhideWhenUsed/>
    <w:pPr>
      <w:pBdr/>
      <w:spacing/>
      <w:ind/>
    </w:pPr>
  </w:style>
  <w:style w:type="table" w:styleId="757">
    <w:name w:val="Table Grid"/>
    <w:basedOn w:val="755"/>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Plain Table 1"/>
    <w:basedOn w:val="755"/>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Plain Table 2"/>
    <w:basedOn w:val="755"/>
    <w:uiPriority w:val="59"/>
    <w:pPr>
      <w:pBdr/>
      <w:spacing/>
      <w:ind/>
    </w:pPr>
    <w:tblPr>
      <w:tblBorders>
        <w:top w:val="single" w:color="000000" w:themeColor="text1" w:sz="4" w:space="0"/>
        <w:left w:val="none" w:color="000000" w:sz="4" w:space="0"/>
        <w:bottom w:val="single" w:color="000000" w:themeColor="text1" w:sz="4" w:space="0"/>
        <w:right w:val="none" w:color="000000"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Plain Table 3"/>
    <w:basedOn w:val="755"/>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Plain Table 4"/>
    <w:basedOn w:val="755"/>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Plain Table 5"/>
    <w:basedOn w:val="755"/>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1 Light"/>
    <w:basedOn w:val="755"/>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2"/>
    <w:basedOn w:val="755"/>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3"/>
    <w:basedOn w:val="755"/>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4"/>
    <w:basedOn w:val="755"/>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5 Dark"/>
    <w:basedOn w:val="755"/>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6 Colorful"/>
    <w:basedOn w:val="755"/>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7 Colorful"/>
    <w:basedOn w:val="755"/>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1 Light"/>
    <w:basedOn w:val="755"/>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2"/>
    <w:basedOn w:val="755"/>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3"/>
    <w:basedOn w:val="755"/>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4"/>
    <w:basedOn w:val="755"/>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5 Dark"/>
    <w:basedOn w:val="755"/>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6 Colorful"/>
    <w:basedOn w:val="755"/>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7 Colorful"/>
    <w:basedOn w:val="755"/>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777" w:customStyle="1">
    <w:name w:val="Titolo 3 Carattere"/>
    <w:basedOn w:val="754"/>
    <w:link w:val="747"/>
    <w:uiPriority w:val="9"/>
    <w:pPr>
      <w:pBdr/>
      <w:spacing/>
      <w:ind/>
    </w:pPr>
    <w:rPr>
      <w:rFonts w:ascii="Arial" w:hAnsi="Arial" w:eastAsia="Arial" w:cs="Arial"/>
      <w:color w:val="365f91" w:themeColor="accent1" w:themeShade="BF"/>
      <w:sz w:val="28"/>
      <w:szCs w:val="28"/>
    </w:rPr>
  </w:style>
  <w:style w:type="character" w:styleId="778" w:customStyle="1">
    <w:name w:val="Titolo 4 Carattere"/>
    <w:basedOn w:val="754"/>
    <w:link w:val="748"/>
    <w:uiPriority w:val="9"/>
    <w:pPr>
      <w:pBdr/>
      <w:spacing/>
      <w:ind/>
    </w:pPr>
    <w:rPr>
      <w:rFonts w:ascii="Arial" w:hAnsi="Arial" w:eastAsia="Arial" w:cs="Arial"/>
      <w:i/>
      <w:iCs/>
      <w:color w:val="365f91" w:themeColor="accent1" w:themeShade="BF"/>
    </w:rPr>
  </w:style>
  <w:style w:type="character" w:styleId="779" w:customStyle="1">
    <w:name w:val="Titolo 5 Carattere"/>
    <w:basedOn w:val="754"/>
    <w:link w:val="749"/>
    <w:uiPriority w:val="9"/>
    <w:pPr>
      <w:pBdr/>
      <w:spacing/>
      <w:ind/>
    </w:pPr>
    <w:rPr>
      <w:rFonts w:ascii="Arial" w:hAnsi="Arial" w:eastAsia="Arial" w:cs="Arial"/>
      <w:color w:val="365f91" w:themeColor="accent1" w:themeShade="BF"/>
    </w:rPr>
  </w:style>
  <w:style w:type="character" w:styleId="780" w:customStyle="1">
    <w:name w:val="Titolo 6 Carattere"/>
    <w:basedOn w:val="754"/>
    <w:link w:val="750"/>
    <w:uiPriority w:val="9"/>
    <w:pPr>
      <w:pBdr/>
      <w:spacing/>
      <w:ind/>
    </w:pPr>
    <w:rPr>
      <w:rFonts w:ascii="Arial" w:hAnsi="Arial" w:eastAsia="Arial" w:cs="Arial"/>
      <w:i/>
      <w:iCs/>
      <w:color w:val="595959" w:themeColor="text1" w:themeTint="A6"/>
    </w:rPr>
  </w:style>
  <w:style w:type="character" w:styleId="781" w:customStyle="1">
    <w:name w:val="Titolo 7 Carattere"/>
    <w:basedOn w:val="754"/>
    <w:link w:val="751"/>
    <w:uiPriority w:val="9"/>
    <w:pPr>
      <w:pBdr/>
      <w:spacing/>
      <w:ind/>
    </w:pPr>
    <w:rPr>
      <w:rFonts w:ascii="Arial" w:hAnsi="Arial" w:eastAsia="Arial" w:cs="Arial"/>
      <w:color w:val="595959" w:themeColor="text1" w:themeTint="A6"/>
    </w:rPr>
  </w:style>
  <w:style w:type="character" w:styleId="782" w:customStyle="1">
    <w:name w:val="Titolo 8 Carattere"/>
    <w:basedOn w:val="754"/>
    <w:link w:val="752"/>
    <w:uiPriority w:val="9"/>
    <w:pPr>
      <w:pBdr/>
      <w:spacing/>
      <w:ind/>
    </w:pPr>
    <w:rPr>
      <w:rFonts w:ascii="Arial" w:hAnsi="Arial" w:eastAsia="Arial" w:cs="Arial"/>
      <w:i/>
      <w:iCs/>
      <w:color w:val="272727" w:themeColor="text1" w:themeTint="D8"/>
    </w:rPr>
  </w:style>
  <w:style w:type="character" w:styleId="783" w:customStyle="1">
    <w:name w:val="Titolo 9 Carattere"/>
    <w:basedOn w:val="754"/>
    <w:link w:val="753"/>
    <w:uiPriority w:val="9"/>
    <w:pPr>
      <w:pBdr/>
      <w:spacing/>
      <w:ind/>
    </w:pPr>
    <w:rPr>
      <w:rFonts w:ascii="Arial" w:hAnsi="Arial" w:eastAsia="Arial" w:cs="Arial"/>
      <w:i/>
      <w:iCs/>
      <w:color w:val="272727" w:themeColor="text1" w:themeTint="D8"/>
    </w:rPr>
  </w:style>
  <w:style w:type="paragraph" w:styleId="784">
    <w:name w:val="Title"/>
    <w:basedOn w:val="744"/>
    <w:next w:val="744"/>
    <w:link w:val="785"/>
    <w:uiPriority w:val="10"/>
    <w:qFormat/>
    <w:pPr>
      <w:pBdr/>
      <w:spacing w:after="80"/>
      <w:ind/>
      <w:contextualSpacing w:val="true"/>
    </w:pPr>
    <w:rPr>
      <w:rFonts w:ascii="Arial" w:hAnsi="Arial" w:eastAsia="Arial" w:cs="Arial"/>
      <w:spacing w:val="-10"/>
      <w:sz w:val="56"/>
      <w:szCs w:val="56"/>
    </w:rPr>
  </w:style>
  <w:style w:type="character" w:styleId="785" w:customStyle="1">
    <w:name w:val="Titolo Carattere"/>
    <w:basedOn w:val="754"/>
    <w:link w:val="784"/>
    <w:uiPriority w:val="10"/>
    <w:pPr>
      <w:pBdr/>
      <w:spacing/>
      <w:ind/>
    </w:pPr>
    <w:rPr>
      <w:rFonts w:ascii="Arial" w:hAnsi="Arial" w:eastAsia="Arial" w:cs="Arial"/>
      <w:spacing w:val="-10"/>
      <w:sz w:val="56"/>
      <w:szCs w:val="56"/>
    </w:rPr>
  </w:style>
  <w:style w:type="paragraph" w:styleId="786">
    <w:name w:val="Subtitle"/>
    <w:basedOn w:val="744"/>
    <w:next w:val="744"/>
    <w:link w:val="787"/>
    <w:uiPriority w:val="11"/>
    <w:qFormat/>
    <w:pPr>
      <w:numPr>
        <w:ilvl w:val="1"/>
      </w:numPr>
      <w:pBdr/>
      <w:spacing/>
      <w:ind/>
    </w:pPr>
    <w:rPr>
      <w:color w:val="595959" w:themeColor="text1" w:themeTint="A6"/>
      <w:spacing w:val="15"/>
      <w:sz w:val="28"/>
      <w:szCs w:val="28"/>
    </w:rPr>
  </w:style>
  <w:style w:type="character" w:styleId="787" w:customStyle="1">
    <w:name w:val="Sottotitolo Carattere"/>
    <w:basedOn w:val="754"/>
    <w:link w:val="786"/>
    <w:uiPriority w:val="11"/>
    <w:pPr>
      <w:pBdr/>
      <w:spacing/>
      <w:ind/>
    </w:pPr>
    <w:rPr>
      <w:color w:val="595959" w:themeColor="text1" w:themeTint="A6"/>
      <w:spacing w:val="15"/>
      <w:sz w:val="28"/>
      <w:szCs w:val="28"/>
    </w:rPr>
  </w:style>
  <w:style w:type="paragraph" w:styleId="788">
    <w:name w:val="Quote"/>
    <w:basedOn w:val="744"/>
    <w:next w:val="744"/>
    <w:link w:val="789"/>
    <w:uiPriority w:val="29"/>
    <w:qFormat/>
    <w:pPr>
      <w:pBdr/>
      <w:spacing w:before="160"/>
      <w:ind/>
      <w:jc w:val="center"/>
    </w:pPr>
    <w:rPr>
      <w:i/>
      <w:iCs/>
      <w:color w:val="404040" w:themeColor="text1" w:themeTint="BF"/>
    </w:rPr>
  </w:style>
  <w:style w:type="character" w:styleId="789" w:customStyle="1">
    <w:name w:val="Citazione Carattere"/>
    <w:basedOn w:val="754"/>
    <w:link w:val="788"/>
    <w:uiPriority w:val="29"/>
    <w:pPr>
      <w:pBdr/>
      <w:spacing/>
      <w:ind/>
    </w:pPr>
    <w:rPr>
      <w:i/>
      <w:iCs/>
      <w:color w:val="404040" w:themeColor="text1" w:themeTint="BF"/>
    </w:rPr>
  </w:style>
  <w:style w:type="character" w:styleId="790">
    <w:name w:val="Intense Emphasis"/>
    <w:basedOn w:val="754"/>
    <w:uiPriority w:val="21"/>
    <w:qFormat/>
    <w:pPr>
      <w:pBdr/>
      <w:spacing/>
      <w:ind/>
    </w:pPr>
    <w:rPr>
      <w:i/>
      <w:iCs/>
      <w:color w:val="365f91" w:themeColor="accent1" w:themeShade="BF"/>
    </w:rPr>
  </w:style>
  <w:style w:type="paragraph" w:styleId="791">
    <w:name w:val="Intense Quote"/>
    <w:basedOn w:val="744"/>
    <w:next w:val="744"/>
    <w:link w:val="792"/>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792" w:customStyle="1">
    <w:name w:val="Citazione intensa Carattere"/>
    <w:basedOn w:val="754"/>
    <w:link w:val="791"/>
    <w:uiPriority w:val="30"/>
    <w:pPr>
      <w:pBdr/>
      <w:spacing/>
      <w:ind/>
    </w:pPr>
    <w:rPr>
      <w:i/>
      <w:iCs/>
      <w:color w:val="365f91" w:themeColor="accent1" w:themeShade="BF"/>
    </w:rPr>
  </w:style>
  <w:style w:type="character" w:styleId="793">
    <w:name w:val="Intense Reference"/>
    <w:basedOn w:val="754"/>
    <w:uiPriority w:val="32"/>
    <w:qFormat/>
    <w:pPr>
      <w:pBdr/>
      <w:spacing/>
      <w:ind/>
    </w:pPr>
    <w:rPr>
      <w:b/>
      <w:bCs/>
      <w:smallCaps/>
      <w:color w:val="365f91" w:themeColor="accent1" w:themeShade="BF"/>
      <w:spacing w:val="5"/>
    </w:rPr>
  </w:style>
  <w:style w:type="paragraph" w:styleId="794">
    <w:name w:val="No Spacing"/>
    <w:basedOn w:val="744"/>
    <w:uiPriority w:val="1"/>
    <w:qFormat/>
    <w:pPr>
      <w:pBdr/>
      <w:spacing/>
      <w:ind/>
    </w:pPr>
  </w:style>
  <w:style w:type="character" w:styleId="795">
    <w:name w:val="Subtle Emphasis"/>
    <w:basedOn w:val="754"/>
    <w:uiPriority w:val="19"/>
    <w:qFormat/>
    <w:pPr>
      <w:pBdr/>
      <w:spacing/>
      <w:ind/>
    </w:pPr>
    <w:rPr>
      <w:i/>
      <w:iCs/>
      <w:color w:val="404040" w:themeColor="text1" w:themeTint="BF"/>
    </w:rPr>
  </w:style>
  <w:style w:type="character" w:styleId="796">
    <w:name w:val="Emphasis"/>
    <w:basedOn w:val="754"/>
    <w:uiPriority w:val="20"/>
    <w:qFormat/>
    <w:pPr>
      <w:pBdr/>
      <w:spacing/>
      <w:ind/>
    </w:pPr>
    <w:rPr>
      <w:i/>
      <w:iCs/>
    </w:rPr>
  </w:style>
  <w:style w:type="character" w:styleId="797">
    <w:name w:val="Strong"/>
    <w:basedOn w:val="754"/>
    <w:uiPriority w:val="22"/>
    <w:qFormat/>
    <w:pPr>
      <w:pBdr/>
      <w:spacing/>
      <w:ind/>
    </w:pPr>
    <w:rPr>
      <w:b/>
      <w:bCs/>
    </w:rPr>
  </w:style>
  <w:style w:type="character" w:styleId="798">
    <w:name w:val="Subtle Reference"/>
    <w:basedOn w:val="754"/>
    <w:uiPriority w:val="31"/>
    <w:qFormat/>
    <w:pPr>
      <w:pBdr/>
      <w:spacing/>
      <w:ind/>
    </w:pPr>
    <w:rPr>
      <w:smallCaps/>
      <w:color w:val="5a5a5a" w:themeColor="text1" w:themeTint="A5"/>
    </w:rPr>
  </w:style>
  <w:style w:type="character" w:styleId="799">
    <w:name w:val="Book Title"/>
    <w:basedOn w:val="754"/>
    <w:uiPriority w:val="33"/>
    <w:qFormat/>
    <w:pPr>
      <w:pBdr/>
      <w:spacing/>
      <w:ind/>
    </w:pPr>
    <w:rPr>
      <w:b/>
      <w:bCs/>
      <w:i/>
      <w:iCs/>
      <w:spacing w:val="5"/>
    </w:rPr>
  </w:style>
  <w:style w:type="paragraph" w:styleId="800">
    <w:name w:val="Header"/>
    <w:basedOn w:val="744"/>
    <w:link w:val="801"/>
    <w:uiPriority w:val="99"/>
    <w:unhideWhenUsed/>
    <w:pPr>
      <w:pBdr/>
      <w:tabs>
        <w:tab w:val="center" w:leader="none" w:pos="4844"/>
        <w:tab w:val="right" w:leader="none" w:pos="9689"/>
      </w:tabs>
      <w:spacing/>
      <w:ind/>
    </w:pPr>
  </w:style>
  <w:style w:type="character" w:styleId="801" w:customStyle="1">
    <w:name w:val="Intestazione Carattere"/>
    <w:basedOn w:val="754"/>
    <w:link w:val="800"/>
    <w:uiPriority w:val="99"/>
    <w:pPr>
      <w:pBdr/>
      <w:spacing/>
      <w:ind/>
    </w:pPr>
  </w:style>
  <w:style w:type="paragraph" w:styleId="802">
    <w:name w:val="Footer"/>
    <w:basedOn w:val="744"/>
    <w:link w:val="803"/>
    <w:uiPriority w:val="99"/>
    <w:unhideWhenUsed/>
    <w:pPr>
      <w:pBdr/>
      <w:tabs>
        <w:tab w:val="center" w:leader="none" w:pos="4844"/>
        <w:tab w:val="right" w:leader="none" w:pos="9689"/>
      </w:tabs>
      <w:spacing/>
      <w:ind/>
    </w:pPr>
  </w:style>
  <w:style w:type="character" w:styleId="803" w:customStyle="1">
    <w:name w:val="Piè di pagina Carattere"/>
    <w:basedOn w:val="754"/>
    <w:link w:val="802"/>
    <w:uiPriority w:val="99"/>
    <w:pPr>
      <w:pBdr/>
      <w:spacing/>
      <w:ind/>
    </w:pPr>
  </w:style>
  <w:style w:type="paragraph" w:styleId="804">
    <w:name w:val="Caption"/>
    <w:basedOn w:val="744"/>
    <w:next w:val="744"/>
    <w:uiPriority w:val="35"/>
    <w:unhideWhenUsed/>
    <w:qFormat/>
    <w:pPr>
      <w:pBdr/>
      <w:spacing w:after="200"/>
      <w:ind/>
    </w:pPr>
    <w:rPr>
      <w:i/>
      <w:iCs/>
      <w:color w:val="1f497d" w:themeColor="text2"/>
      <w:sz w:val="18"/>
      <w:szCs w:val="18"/>
    </w:rPr>
  </w:style>
  <w:style w:type="paragraph" w:styleId="805">
    <w:name w:val="footnote text"/>
    <w:basedOn w:val="744"/>
    <w:link w:val="806"/>
    <w:uiPriority w:val="99"/>
    <w:semiHidden/>
    <w:unhideWhenUsed/>
    <w:pPr>
      <w:pBdr/>
      <w:spacing/>
      <w:ind/>
    </w:pPr>
    <w:rPr>
      <w:sz w:val="20"/>
      <w:szCs w:val="20"/>
    </w:rPr>
  </w:style>
  <w:style w:type="character" w:styleId="806" w:customStyle="1">
    <w:name w:val="Testo nota a piè di pagina Carattere"/>
    <w:basedOn w:val="754"/>
    <w:link w:val="805"/>
    <w:uiPriority w:val="99"/>
    <w:semiHidden/>
    <w:pPr>
      <w:pBdr/>
      <w:spacing/>
      <w:ind/>
    </w:pPr>
    <w:rPr>
      <w:sz w:val="20"/>
      <w:szCs w:val="20"/>
    </w:rPr>
  </w:style>
  <w:style w:type="character" w:styleId="807">
    <w:name w:val="footnote reference"/>
    <w:basedOn w:val="754"/>
    <w:uiPriority w:val="99"/>
    <w:semiHidden/>
    <w:unhideWhenUsed/>
    <w:pPr>
      <w:pBdr/>
      <w:spacing/>
      <w:ind/>
    </w:pPr>
    <w:rPr>
      <w:vertAlign w:val="superscript"/>
    </w:rPr>
  </w:style>
  <w:style w:type="paragraph" w:styleId="808">
    <w:name w:val="endnote text"/>
    <w:basedOn w:val="744"/>
    <w:link w:val="809"/>
    <w:uiPriority w:val="99"/>
    <w:semiHidden/>
    <w:unhideWhenUsed/>
    <w:pPr>
      <w:pBdr/>
      <w:spacing/>
      <w:ind/>
    </w:pPr>
    <w:rPr>
      <w:sz w:val="20"/>
      <w:szCs w:val="20"/>
    </w:rPr>
  </w:style>
  <w:style w:type="character" w:styleId="809" w:customStyle="1">
    <w:name w:val="Testo nota di chiusura Carattere"/>
    <w:basedOn w:val="754"/>
    <w:link w:val="808"/>
    <w:uiPriority w:val="99"/>
    <w:semiHidden/>
    <w:pPr>
      <w:pBdr/>
      <w:spacing/>
      <w:ind/>
    </w:pPr>
    <w:rPr>
      <w:sz w:val="20"/>
      <w:szCs w:val="20"/>
    </w:rPr>
  </w:style>
  <w:style w:type="character" w:styleId="810">
    <w:name w:val="endnote reference"/>
    <w:basedOn w:val="754"/>
    <w:uiPriority w:val="99"/>
    <w:semiHidden/>
    <w:unhideWhenUsed/>
    <w:pPr>
      <w:pBdr/>
      <w:spacing/>
      <w:ind/>
    </w:pPr>
    <w:rPr>
      <w:vertAlign w:val="superscript"/>
    </w:rPr>
  </w:style>
  <w:style w:type="character" w:styleId="811">
    <w:name w:val="Hyperlink"/>
    <w:basedOn w:val="754"/>
    <w:uiPriority w:val="99"/>
    <w:unhideWhenUsed/>
    <w:pPr>
      <w:pBdr/>
      <w:spacing/>
      <w:ind/>
    </w:pPr>
    <w:rPr>
      <w:color w:val="0000ff" w:themeColor="hyperlink"/>
      <w:u w:val="single"/>
    </w:rPr>
  </w:style>
  <w:style w:type="character" w:styleId="812">
    <w:name w:val="FollowedHyperlink"/>
    <w:basedOn w:val="754"/>
    <w:uiPriority w:val="99"/>
    <w:semiHidden/>
    <w:unhideWhenUsed/>
    <w:pPr>
      <w:pBdr/>
      <w:spacing/>
      <w:ind/>
    </w:pPr>
    <w:rPr>
      <w:color w:val="800080" w:themeColor="followedHyperlink"/>
      <w:u w:val="single"/>
    </w:rPr>
  </w:style>
  <w:style w:type="paragraph" w:styleId="813">
    <w:name w:val="toc 1"/>
    <w:basedOn w:val="744"/>
    <w:next w:val="744"/>
    <w:uiPriority w:val="39"/>
    <w:unhideWhenUsed/>
    <w:pPr>
      <w:pBdr/>
      <w:spacing w:after="100"/>
      <w:ind/>
    </w:pPr>
  </w:style>
  <w:style w:type="paragraph" w:styleId="814">
    <w:name w:val="toc 2"/>
    <w:basedOn w:val="744"/>
    <w:next w:val="744"/>
    <w:uiPriority w:val="39"/>
    <w:unhideWhenUsed/>
    <w:pPr>
      <w:pBdr/>
      <w:spacing w:after="100"/>
      <w:ind w:left="220"/>
    </w:pPr>
  </w:style>
  <w:style w:type="paragraph" w:styleId="815">
    <w:name w:val="toc 3"/>
    <w:basedOn w:val="744"/>
    <w:next w:val="744"/>
    <w:uiPriority w:val="39"/>
    <w:unhideWhenUsed/>
    <w:pPr>
      <w:pBdr/>
      <w:spacing w:after="100"/>
      <w:ind w:left="440"/>
    </w:pPr>
  </w:style>
  <w:style w:type="paragraph" w:styleId="816">
    <w:name w:val="toc 4"/>
    <w:basedOn w:val="744"/>
    <w:next w:val="744"/>
    <w:uiPriority w:val="39"/>
    <w:unhideWhenUsed/>
    <w:pPr>
      <w:pBdr/>
      <w:spacing w:after="100"/>
      <w:ind w:left="660"/>
    </w:pPr>
  </w:style>
  <w:style w:type="paragraph" w:styleId="817">
    <w:name w:val="toc 5"/>
    <w:basedOn w:val="744"/>
    <w:next w:val="744"/>
    <w:uiPriority w:val="39"/>
    <w:unhideWhenUsed/>
    <w:pPr>
      <w:pBdr/>
      <w:spacing w:after="100"/>
      <w:ind w:left="880"/>
    </w:pPr>
  </w:style>
  <w:style w:type="paragraph" w:styleId="818">
    <w:name w:val="toc 6"/>
    <w:basedOn w:val="744"/>
    <w:next w:val="744"/>
    <w:uiPriority w:val="39"/>
    <w:unhideWhenUsed/>
    <w:pPr>
      <w:pBdr/>
      <w:spacing w:after="100"/>
      <w:ind w:left="1100"/>
    </w:pPr>
  </w:style>
  <w:style w:type="paragraph" w:styleId="819">
    <w:name w:val="toc 7"/>
    <w:basedOn w:val="744"/>
    <w:next w:val="744"/>
    <w:uiPriority w:val="39"/>
    <w:unhideWhenUsed/>
    <w:pPr>
      <w:pBdr/>
      <w:spacing w:after="100"/>
      <w:ind w:left="1320"/>
    </w:pPr>
  </w:style>
  <w:style w:type="paragraph" w:styleId="820">
    <w:name w:val="toc 8"/>
    <w:basedOn w:val="744"/>
    <w:next w:val="744"/>
    <w:uiPriority w:val="39"/>
    <w:unhideWhenUsed/>
    <w:pPr>
      <w:pBdr/>
      <w:spacing w:after="100"/>
      <w:ind w:left="1540"/>
    </w:pPr>
  </w:style>
  <w:style w:type="paragraph" w:styleId="821">
    <w:name w:val="toc 9"/>
    <w:basedOn w:val="744"/>
    <w:next w:val="744"/>
    <w:uiPriority w:val="39"/>
    <w:unhideWhenUsed/>
    <w:pPr>
      <w:pBdr/>
      <w:spacing w:after="100"/>
      <w:ind w:left="1760"/>
    </w:pPr>
  </w:style>
  <w:style w:type="paragraph" w:styleId="822">
    <w:name w:val="TOC Heading"/>
    <w:uiPriority w:val="39"/>
    <w:unhideWhenUsed/>
    <w:pPr>
      <w:pBdr/>
      <w:spacing/>
      <w:ind/>
    </w:pPr>
  </w:style>
  <w:style w:type="paragraph" w:styleId="823">
    <w:name w:val="table of figures"/>
    <w:basedOn w:val="744"/>
    <w:next w:val="744"/>
    <w:uiPriority w:val="99"/>
    <w:unhideWhenUsed/>
    <w:pPr>
      <w:pBdr/>
      <w:spacing/>
      <w:ind/>
    </w:pPr>
  </w:style>
  <w:style w:type="paragraph" w:styleId="824">
    <w:name w:val="Body Text"/>
    <w:basedOn w:val="744"/>
    <w:uiPriority w:val="1"/>
    <w:qFormat/>
    <w:pPr>
      <w:pBdr/>
      <w:spacing/>
      <w:ind/>
    </w:pPr>
  </w:style>
  <w:style w:type="paragraph" w:styleId="825">
    <w:name w:val="List Paragraph"/>
    <w:basedOn w:val="744"/>
    <w:uiPriority w:val="1"/>
    <w:qFormat/>
    <w:pPr>
      <w:pBdr/>
      <w:spacing/>
      <w:ind w:hanging="360" w:left="861"/>
      <w:jc w:val="both"/>
    </w:pPr>
  </w:style>
  <w:style w:type="table" w:styleId="826" w:customStyle="1">
    <w:name w:val="StGen0"/>
    <w:pPr>
      <w:widowControl w:val="true"/>
      <w:pBdr>
        <w:top w:val="none" w:color="000000" w:sz="4" w:space="0"/>
        <w:left w:val="none" w:color="000000" w:sz="4" w:space="0"/>
        <w:bottom w:val="none" w:color="000000" w:sz="4" w:space="0"/>
        <w:right w:val="none" w:color="000000" w:sz="4" w:space="0"/>
        <w:between w:val="none" w:color="000000" w:sz="4" w:space="0"/>
      </w:pBdr>
      <w:spacing w:before="120"/>
      <w:ind/>
      <w:jc w:val="both"/>
    </w:pPr>
    <w:rPr>
      <w:rFonts w:ascii="Times New Roman" w:hAnsi="Times New Roman" w:eastAsia="Times New Roman" w:cs="Times New Roman"/>
      <w:sz w:val="24"/>
      <w:szCs w:val="24"/>
      <w:lang w:val="it" w:eastAsia="zh-CN"/>
    </w:rPr>
    <w:tblPr>
      <w:tblStyleRowBandSize w:val="1"/>
      <w:tblStyleColBandSize w:val="1"/>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left w:w="70" w:type="dxa"/>
        <w:top w:w="0" w:type="dxa"/>
        <w:right w:w="70" w:type="dxa"/>
        <w:bottom w:w="0" w:type="dxa"/>
      </w:tblCellMar>
    </w:tblPr>
    <w:tcPr>
      <w:tcBorders/>
      <w:tcW w:w="0" w:type="auto"/>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image" Target="media/image1.png"/><Relationship Id="rId14" Type="http://schemas.openxmlformats.org/officeDocument/2006/relationships/hyperlink" Target="http://www.euroinfosicilia.it/"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ONLYOFFICE/8.2.1.38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Veneziano</dc:creator>
  <cp:revision>7</cp:revision>
  <dcterms:created xsi:type="dcterms:W3CDTF">2026-07-29T13:08:00Z</dcterms:created>
  <dcterms:modified xsi:type="dcterms:W3CDTF">2026-08-25T10:58:25Z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2026-07-29T00:00:00Z</vt:filetime>
  </property>
  <property fmtid="{D5CDD505-2E9C-101B-9397-08002B2CF9AE}" pid="4" name="Creator">
    <vt:lpwstr>ONLYOFFICE/8.2.1.38</vt:lpwstr>
  </property>
  <property fmtid="{D5CDD505-2E9C-101B-9397-08002B2CF9AE}" pid="5" name="LastSaved">
    <vt:filetime>2026-07-29T00:00:00Z</vt:filetime>
  </property>
  <property fmtid="{D5CDD505-2E9C-101B-9397-08002B2CF9AE}" pid="6" name="Producer">
    <vt:lpwstr>ONLYOFFICE/8.2.1.38</vt:lpwstr>
  </property>
</Properties>
</file>