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footer1.xml" ContentType="application/vnd.openxmlformats-officedocument.wordprocessingml.footer+xml"/>
  <Override PartName="/word/numbering.xml" ContentType="application/vnd.openxmlformats-officedocument.wordprocessingml.numbering+xml"/>
  <Override PartName="/docProps/core.xml" ContentType="application/vnd.openxmlformats-package.core-propertie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997"/>
        <w:pBdr/>
        <w:spacing w:before="45"/>
        <w:ind w:right="147" w:left="141"/>
        <w:rPr/>
      </w:pPr>
      <w:r>
        <w:rPr>
          <w:color w:val="1f4c78"/>
        </w:rPr>
        <w:t xml:space="preserve">Allegato</w:t>
      </w:r>
      <w:r>
        <w:rPr>
          <w:color w:val="1f4c78"/>
          <w:spacing w:val="-11"/>
        </w:rPr>
        <w:t xml:space="preserve"> </w:t>
      </w:r>
      <w:r>
        <w:rPr>
          <w:color w:val="1f4c78"/>
        </w:rPr>
        <w:t xml:space="preserve">2</w:t>
      </w:r>
      <w:r>
        <w:rPr>
          <w:color w:val="1f4c78"/>
          <w:spacing w:val="-11"/>
        </w:rPr>
        <w:t xml:space="preserve"> </w:t>
      </w:r>
      <w:r>
        <w:rPr>
          <w:color w:val="1f4c78"/>
        </w:rPr>
        <w:t xml:space="preserve">-</w:t>
      </w:r>
      <w:r>
        <w:rPr>
          <w:color w:val="1f4c78"/>
          <w:spacing w:val="-11"/>
        </w:rPr>
        <w:t xml:space="preserve"> </w:t>
      </w:r>
      <w:r>
        <w:rPr>
          <w:color w:val="1f4c78"/>
        </w:rPr>
        <w:t xml:space="preserve">Schema</w:t>
      </w:r>
      <w:r>
        <w:rPr>
          <w:color w:val="1f4c78"/>
          <w:spacing w:val="-11"/>
        </w:rPr>
        <w:t xml:space="preserve"> </w:t>
      </w:r>
      <w:r>
        <w:rPr>
          <w:color w:val="1f4c78"/>
        </w:rPr>
        <w:t xml:space="preserve">tipo</w:t>
      </w:r>
      <w:r>
        <w:rPr>
          <w:color w:val="1f4c78"/>
          <w:spacing w:val="-11"/>
        </w:rPr>
        <w:t xml:space="preserve"> </w:t>
      </w:r>
      <w:r>
        <w:rPr>
          <w:color w:val="1f4c78"/>
        </w:rPr>
        <w:t xml:space="preserve">di</w:t>
      </w:r>
      <w:r>
        <w:rPr>
          <w:color w:val="1f4c78"/>
          <w:spacing w:val="-11"/>
        </w:rPr>
        <w:t xml:space="preserve"> </w:t>
      </w:r>
      <w:r>
        <w:rPr>
          <w:color w:val="1f4c78"/>
        </w:rPr>
        <w:t xml:space="preserve">Disciplinare</w:t>
      </w:r>
      <w:r>
        <w:rPr>
          <w:color w:val="1f4c78"/>
          <w:spacing w:val="-11"/>
        </w:rPr>
        <w:t xml:space="preserve"> </w:t>
      </w:r>
      <w:r>
        <w:rPr>
          <w:color w:val="1f4c78"/>
        </w:rPr>
        <w:t xml:space="preserve">di</w:t>
      </w:r>
      <w:r>
        <w:rPr>
          <w:color w:val="1f4c78"/>
          <w:spacing w:val="-11"/>
        </w:rPr>
        <w:t xml:space="preserve"> </w:t>
      </w:r>
      <w:r>
        <w:rPr>
          <w:color w:val="1f4c78"/>
        </w:rPr>
        <w:t xml:space="preserve">finanziamento</w:t>
      </w:r>
      <w:r>
        <w:rPr>
          <w:color w:val="1f4c78"/>
          <w:spacing w:val="-11"/>
        </w:rPr>
        <w:t xml:space="preserve"> </w:t>
      </w:r>
      <w:r>
        <w:rPr>
          <w:color w:val="1f4c78"/>
        </w:rPr>
        <w:t xml:space="preserve">fra</w:t>
      </w:r>
      <w:r>
        <w:rPr>
          <w:color w:val="1f4c78"/>
          <w:spacing w:val="-11"/>
        </w:rPr>
        <w:t xml:space="preserve"> </w:t>
      </w:r>
      <w:r>
        <w:rPr>
          <w:color w:val="1f4c78"/>
        </w:rPr>
        <w:t xml:space="preserve">Regione</w:t>
      </w:r>
      <w:r>
        <w:rPr>
          <w:color w:val="1f4c78"/>
          <w:spacing w:val="-11"/>
        </w:rPr>
        <w:t xml:space="preserve"> </w:t>
      </w:r>
      <w:r>
        <w:rPr>
          <w:color w:val="1f4c78"/>
        </w:rPr>
        <w:t xml:space="preserve">e</w:t>
      </w:r>
      <w:r>
        <w:rPr>
          <w:color w:val="1f4c78"/>
          <w:spacing w:val="-11"/>
        </w:rPr>
        <w:t xml:space="preserve"> </w:t>
      </w:r>
      <w:r>
        <w:rPr>
          <w:color w:val="1f4c78"/>
        </w:rPr>
        <w:t xml:space="preserve">beneficiari</w:t>
      </w:r>
      <w:r>
        <w:rPr>
          <w:color w:val="1f4c78"/>
          <w:spacing w:val="-11"/>
        </w:rPr>
        <w:t xml:space="preserve"> </w:t>
      </w:r>
      <w:r>
        <w:rPr>
          <w:color w:val="1f4c78"/>
        </w:rPr>
        <w:t xml:space="preserve">di</w:t>
      </w:r>
      <w:r>
        <w:rPr>
          <w:color w:val="1f4c78"/>
          <w:spacing w:val="-11"/>
        </w:rPr>
        <w:t xml:space="preserve"> </w:t>
      </w:r>
      <w:r>
        <w:rPr>
          <w:color w:val="1f4c78"/>
        </w:rPr>
        <w:t xml:space="preserve">operazioni</w:t>
      </w:r>
      <w:r>
        <w:rPr>
          <w:color w:val="1f4c78"/>
          <w:spacing w:val="-11"/>
        </w:rPr>
        <w:t xml:space="preserve"> </w:t>
      </w:r>
      <w:r>
        <w:rPr>
          <w:color w:val="1f4c78"/>
        </w:rPr>
        <w:t xml:space="preserve">relative</w:t>
      </w:r>
      <w:r>
        <w:rPr>
          <w:color w:val="1f4c78"/>
          <w:spacing w:val="-11"/>
        </w:rPr>
        <w:t xml:space="preserve"> </w:t>
      </w:r>
      <w:r>
        <w:rPr>
          <w:color w:val="1f4c78"/>
        </w:rPr>
        <w:t xml:space="preserve">alla realizzazione di OOPP, all’acquisizione di servizi e all’acquisizione di forniture</w:t>
      </w:r>
      <w:r/>
    </w:p>
    <w:p>
      <w:pPr>
        <w:pStyle w:val="997"/>
        <w:pBdr/>
        <w:spacing/>
        <w:ind/>
        <w:rPr/>
      </w:pPr>
      <w:r/>
      <w:r/>
    </w:p>
    <w:p>
      <w:pPr>
        <w:pStyle w:val="997"/>
        <w:pBdr/>
        <w:spacing/>
        <w:ind/>
        <w:rPr/>
      </w:pPr>
      <w:r/>
      <w:r/>
    </w:p>
    <w:p>
      <w:pPr>
        <w:pStyle w:val="997"/>
        <w:pBdr/>
        <w:spacing/>
        <w:ind/>
        <w:rPr/>
      </w:pPr>
      <w:r/>
      <w:r/>
    </w:p>
    <w:p>
      <w:pPr>
        <w:pBdr/>
        <w:tabs>
          <w:tab w:val="left" w:leader="none" w:pos="5069"/>
        </w:tabs>
        <w:spacing/>
        <w:ind w:right="2674" w:left="2671"/>
        <w:jc w:val="center"/>
        <w:rPr>
          <w:rFonts w:ascii="Times New Roman"/>
          <w:b/>
          <w:bCs/>
        </w:rPr>
      </w:pPr>
      <w:r>
        <w:rPr>
          <w:b/>
        </w:rPr>
        <w:t xml:space="preserve">PROGRAMMA</w:t>
      </w:r>
      <w:r>
        <w:rPr>
          <w:b/>
          <w:spacing w:val="-10"/>
        </w:rPr>
        <w:t xml:space="preserve"> </w:t>
      </w:r>
      <w:r>
        <w:rPr>
          <w:b/>
        </w:rPr>
        <w:t xml:space="preserve">REGIONALE</w:t>
      </w:r>
      <w:r>
        <w:rPr>
          <w:b/>
          <w:spacing w:val="-10"/>
        </w:rPr>
        <w:t xml:space="preserve"> </w:t>
      </w:r>
      <w:r>
        <w:rPr>
          <w:b/>
        </w:rPr>
        <w:t xml:space="preserve">FESR</w:t>
      </w:r>
      <w:r>
        <w:rPr>
          <w:b/>
          <w:spacing w:val="-10"/>
        </w:rPr>
        <w:t xml:space="preserve"> </w:t>
      </w:r>
      <w:r>
        <w:rPr>
          <w:b/>
        </w:rPr>
        <w:t xml:space="preserve">SICILIA</w:t>
      </w:r>
      <w:r>
        <w:rPr>
          <w:b/>
          <w:spacing w:val="-10"/>
        </w:rPr>
        <w:t xml:space="preserve"> </w:t>
      </w:r>
      <w:r>
        <w:rPr>
          <w:b/>
        </w:rPr>
        <w:t xml:space="preserve">2021-2027 OBIETTIVO S</w:t>
      </w:r>
      <w:r>
        <w:rPr>
          <w:b/>
          <w:bCs/>
        </w:rPr>
        <w:t xml:space="preserve">PECIFICO </w:t>
      </w:r>
      <w:r>
        <w:rPr>
          <w:rFonts w:ascii="Times New Roman"/>
          <w:b/>
          <w:bCs/>
        </w:rPr>
        <w:t xml:space="preserve">4.5</w:t>
      </w:r>
      <w:r>
        <w:rPr>
          <w:rFonts w:ascii="Times New Roman"/>
          <w:b/>
          <w:bCs/>
        </w:rPr>
      </w:r>
    </w:p>
    <w:p>
      <w:pPr>
        <w:pBdr/>
        <w:tabs>
          <w:tab w:val="left" w:leader="none" w:pos="5069"/>
        </w:tabs>
        <w:spacing/>
        <w:ind w:right="2674" w:left="2671"/>
        <w:jc w:val="center"/>
        <w:rPr>
          <w:rFonts w:ascii="Times New Roman"/>
          <w:b/>
          <w:bCs/>
        </w:rPr>
      </w:pPr>
      <w:r>
        <w:rPr>
          <w:b/>
          <w:bCs/>
        </w:rPr>
        <w:t xml:space="preserve">AZIONE </w:t>
      </w:r>
      <w:r>
        <w:rPr>
          <w:rFonts w:ascii="Times New Roman"/>
          <w:b/>
          <w:bCs/>
        </w:rPr>
        <w:t xml:space="preserve">4.5.2</w:t>
      </w:r>
      <w:r>
        <w:rPr>
          <w:rFonts w:ascii="Times New Roman"/>
          <w:b/>
          <w:bCs/>
        </w:rPr>
      </w:r>
    </w:p>
    <w:p>
      <w:pPr>
        <w:pStyle w:val="997"/>
        <w:pBdr/>
        <w:spacing/>
        <w:ind/>
        <w:rPr>
          <w:rFonts w:ascii="Times New Roman"/>
        </w:rPr>
      </w:pPr>
      <w:r>
        <w:rPr>
          <w:rFonts w:ascii="Times New Roman"/>
        </w:rPr>
      </w:r>
      <w:r>
        <w:rPr>
          <w:rFonts w:ascii="Times New Roman"/>
        </w:rPr>
      </w:r>
    </w:p>
    <w:p>
      <w:pPr>
        <w:pStyle w:val="997"/>
        <w:pBdr/>
        <w:spacing w:before="47"/>
        <w:ind/>
        <w:rPr>
          <w:rFonts w:ascii="Times New Roman"/>
        </w:rPr>
      </w:pPr>
      <w:r>
        <w:rPr>
          <w:rFonts w:ascii="Times New Roman"/>
        </w:rPr>
      </w:r>
      <w:r>
        <w:rPr>
          <w:rFonts w:ascii="Times New Roman"/>
        </w:rPr>
      </w:r>
    </w:p>
    <w:p>
      <w:pPr>
        <w:pBdr/>
        <w:spacing w:line="480" w:lineRule="auto"/>
        <w:ind w:right="3075" w:left="3073"/>
        <w:jc w:val="center"/>
        <w:rPr>
          <w:b/>
        </w:rPr>
      </w:pPr>
      <w:r>
        <w:rPr>
          <w:b/>
        </w:rPr>
        <w:t xml:space="preserve">DISCIPLINARE</w:t>
      </w:r>
      <w:r>
        <w:rPr>
          <w:b/>
          <w:spacing w:val="-13"/>
        </w:rPr>
        <w:t xml:space="preserve"> </w:t>
      </w:r>
      <w:r>
        <w:rPr>
          <w:b/>
        </w:rPr>
        <w:t xml:space="preserve">REGOLANTE</w:t>
      </w:r>
      <w:r>
        <w:rPr>
          <w:b/>
          <w:spacing w:val="-12"/>
        </w:rPr>
        <w:t xml:space="preserve"> </w:t>
      </w:r>
      <w:r>
        <w:rPr>
          <w:b/>
        </w:rPr>
        <w:t xml:space="preserve">I</w:t>
      </w:r>
      <w:r>
        <w:rPr>
          <w:b/>
          <w:spacing w:val="-13"/>
        </w:rPr>
        <w:t xml:space="preserve"> </w:t>
      </w:r>
      <w:r>
        <w:rPr>
          <w:b/>
        </w:rPr>
        <w:t xml:space="preserve">RAPPORTI </w:t>
      </w:r>
      <w:r>
        <w:rPr>
          <w:b/>
          <w:spacing w:val="-4"/>
        </w:rPr>
        <w:t xml:space="preserve">TRA</w:t>
      </w:r>
      <w:r>
        <w:rPr>
          <w:b/>
        </w:rPr>
      </w:r>
    </w:p>
    <w:p>
      <w:pPr>
        <w:pBdr/>
        <w:spacing/>
        <w:ind w:left="-1"/>
        <w:jc w:val="center"/>
        <w:rPr>
          <w:b/>
        </w:rPr>
      </w:pPr>
      <w:r>
        <w:rPr>
          <w:b/>
        </w:rPr>
        <w:t xml:space="preserve">LA</w:t>
      </w:r>
      <w:r>
        <w:rPr>
          <w:b/>
          <w:spacing w:val="-3"/>
        </w:rPr>
        <w:t xml:space="preserve"> </w:t>
      </w:r>
      <w:r>
        <w:rPr>
          <w:b/>
        </w:rPr>
        <w:t xml:space="preserve">REGIONE</w:t>
      </w:r>
      <w:r>
        <w:rPr>
          <w:b/>
          <w:spacing w:val="-3"/>
        </w:rPr>
        <w:t xml:space="preserve"> </w:t>
      </w:r>
      <w:r>
        <w:rPr>
          <w:b/>
          <w:spacing w:val="-2"/>
        </w:rPr>
        <w:t xml:space="preserve">SICILIANA</w:t>
      </w:r>
      <w:r>
        <w:rPr>
          <w:b/>
        </w:rPr>
      </w:r>
    </w:p>
    <w:p>
      <w:pPr>
        <w:pBdr/>
        <w:spacing/>
        <w:ind w:right="2737" w:left="2735"/>
        <w:jc w:val="center"/>
        <w:rPr>
          <w:b/>
        </w:rPr>
      </w:pPr>
      <w:r>
        <w:rPr>
          <w:b/>
        </w:rPr>
        <w:t xml:space="preserve">DIPARTIMENTO</w:t>
      </w:r>
      <w:r>
        <w:rPr>
          <w:b/>
          <w:spacing w:val="-9"/>
        </w:rPr>
        <w:t xml:space="preserve"> </w:t>
      </w:r>
      <w:r>
        <w:rPr>
          <w:b/>
          <w:spacing w:val="-2"/>
        </w:rPr>
        <w:t xml:space="preserve">PIANIFICAZIONE STRATEGICA</w:t>
      </w:r>
      <w:r>
        <w:rPr>
          <w:b/>
        </w:rPr>
      </w:r>
    </w:p>
    <w:p>
      <w:pPr>
        <w:pStyle w:val="997"/>
        <w:pBdr/>
        <w:spacing/>
        <w:ind/>
        <w:rPr>
          <w:b/>
        </w:rPr>
      </w:pPr>
      <w:r>
        <w:rPr>
          <w:b/>
        </w:rPr>
      </w:r>
      <w:r>
        <w:rPr>
          <w:b/>
        </w:rPr>
      </w:r>
    </w:p>
    <w:p>
      <w:pPr>
        <w:pBdr/>
        <w:spacing/>
        <w:ind/>
        <w:jc w:val="center"/>
        <w:rPr>
          <w:b/>
        </w:rPr>
      </w:pPr>
      <w:r>
        <w:rPr>
          <w:b/>
          <w:spacing w:val="-10"/>
        </w:rPr>
        <w:t xml:space="preserve">E</w:t>
      </w:r>
      <w:r>
        <w:rPr>
          <w:b/>
        </w:rPr>
      </w:r>
    </w:p>
    <w:p>
      <w:pPr>
        <w:pBdr/>
        <w:spacing/>
        <w:ind w:left="-1"/>
        <w:jc w:val="center"/>
        <w:rPr>
          <w:b/>
        </w:rPr>
      </w:pPr>
      <w:r>
        <w:rPr>
          <w:b/>
          <w:spacing w:val="-2"/>
        </w:rPr>
        <w:t xml:space="preserve">……………………………………..</w:t>
      </w:r>
      <w:r>
        <w:rPr>
          <w:b/>
        </w:rPr>
      </w:r>
    </w:p>
    <w:p>
      <w:pPr>
        <w:pStyle w:val="997"/>
        <w:pBdr/>
        <w:spacing/>
        <w:ind/>
        <w:rPr>
          <w:b/>
        </w:rPr>
      </w:pPr>
      <w:r>
        <w:rPr>
          <w:b/>
        </w:rPr>
      </w:r>
      <w:r>
        <w:rPr>
          <w:b/>
        </w:rPr>
      </w:r>
    </w:p>
    <w:p>
      <w:pPr>
        <w:pStyle w:val="793"/>
        <w:pBdr/>
        <w:spacing/>
        <w:ind w:right="414" w:left="409"/>
        <w:rPr/>
      </w:pPr>
      <w:r>
        <w:t xml:space="preserve">PER</w:t>
      </w:r>
      <w:r>
        <w:rPr>
          <w:spacing w:val="-5"/>
        </w:rPr>
        <w:t xml:space="preserve"> </w:t>
      </w:r>
      <w:r>
        <w:t xml:space="preserve">LA</w:t>
      </w:r>
      <w:r>
        <w:rPr>
          <w:spacing w:val="-4"/>
        </w:rPr>
        <w:t xml:space="preserve"> </w:t>
      </w:r>
      <w:r>
        <w:t xml:space="preserve">REALIZZAZIONE</w:t>
      </w:r>
      <w:r>
        <w:rPr>
          <w:spacing w:val="-5"/>
        </w:rPr>
        <w:t xml:space="preserve"> </w:t>
      </w:r>
      <w:r>
        <w:t xml:space="preserve">DELL’OPERAZIONE</w:t>
      </w:r>
      <w:r>
        <w:rPr>
          <w:spacing w:val="-4"/>
        </w:rPr>
        <w:t xml:space="preserve"> </w:t>
      </w:r>
      <w:r>
        <w:t xml:space="preserve">DI</w:t>
      </w:r>
      <w:r>
        <w:rPr>
          <w:spacing w:val="-5"/>
        </w:rPr>
        <w:t xml:space="preserve"> </w:t>
      </w:r>
      <w:r>
        <w:t xml:space="preserve">CUI</w:t>
      </w:r>
      <w:r>
        <w:rPr>
          <w:spacing w:val="-4"/>
        </w:rPr>
        <w:t xml:space="preserve"> </w:t>
      </w:r>
      <w:r>
        <w:rPr>
          <w:spacing w:val="-2"/>
        </w:rPr>
        <w:t xml:space="preserve">ALL’ALLEGATO</w:t>
      </w:r>
      <w:r/>
    </w:p>
    <w:p>
      <w:pPr>
        <w:pBdr/>
        <w:spacing/>
        <w:ind w:right="413" w:left="409"/>
        <w:jc w:val="center"/>
        <w:rPr>
          <w:b/>
          <w:i/>
        </w:rPr>
      </w:pPr>
      <w:r>
        <w:rPr>
          <w:b/>
          <w:i/>
        </w:rPr>
        <w:t xml:space="preserve">ai</w:t>
      </w:r>
      <w:r>
        <w:rPr>
          <w:b/>
          <w:i/>
          <w:spacing w:val="-7"/>
        </w:rPr>
        <w:t xml:space="preserve"> </w:t>
      </w:r>
      <w:r>
        <w:rPr>
          <w:b/>
          <w:i/>
        </w:rPr>
        <w:t xml:space="preserve">sensi</w:t>
      </w:r>
      <w:r>
        <w:rPr>
          <w:b/>
          <w:i/>
          <w:spacing w:val="-5"/>
        </w:rPr>
        <w:t xml:space="preserve"> </w:t>
      </w:r>
      <w:r>
        <w:rPr>
          <w:b/>
          <w:i/>
        </w:rPr>
        <w:t xml:space="preserve">dell’art.73,</w:t>
      </w:r>
      <w:r>
        <w:rPr>
          <w:b/>
          <w:i/>
          <w:spacing w:val="-5"/>
        </w:rPr>
        <w:t xml:space="preserve"> </w:t>
      </w:r>
      <w:r>
        <w:rPr>
          <w:b/>
          <w:i/>
        </w:rPr>
        <w:t xml:space="preserve">paragrafo</w:t>
      </w:r>
      <w:r>
        <w:rPr>
          <w:b/>
          <w:i/>
          <w:spacing w:val="-4"/>
        </w:rPr>
        <w:t xml:space="preserve"> </w:t>
      </w:r>
      <w:r>
        <w:rPr>
          <w:b/>
          <w:i/>
        </w:rPr>
        <w:t xml:space="preserve">3,</w:t>
      </w:r>
      <w:r>
        <w:rPr>
          <w:b/>
          <w:i/>
          <w:spacing w:val="-5"/>
        </w:rPr>
        <w:t xml:space="preserve"> </w:t>
      </w:r>
      <w:r>
        <w:rPr>
          <w:b/>
          <w:i/>
        </w:rPr>
        <w:t xml:space="preserve">del</w:t>
      </w:r>
      <w:r>
        <w:rPr>
          <w:b/>
          <w:i/>
          <w:spacing w:val="-5"/>
        </w:rPr>
        <w:t xml:space="preserve"> </w:t>
      </w:r>
      <w:r>
        <w:rPr>
          <w:b/>
          <w:i/>
        </w:rPr>
        <w:t xml:space="preserve">Reg.(</w:t>
      </w:r>
      <w:r>
        <w:rPr>
          <w:b/>
          <w:i/>
        </w:rPr>
        <w:t xml:space="preserve">UE)</w:t>
      </w:r>
      <w:r>
        <w:rPr>
          <w:b/>
          <w:i/>
          <w:spacing w:val="-4"/>
        </w:rPr>
        <w:t xml:space="preserve"> </w:t>
      </w:r>
      <w:r>
        <w:rPr>
          <w:b/>
          <w:i/>
          <w:spacing w:val="-2"/>
        </w:rPr>
        <w:t xml:space="preserve">2021/1060</w:t>
      </w:r>
      <w:r>
        <w:rPr>
          <w:b/>
          <w:i/>
        </w:rPr>
      </w:r>
    </w:p>
    <w:p>
      <w:pPr>
        <w:pBdr/>
        <w:spacing/>
        <w:ind/>
        <w:jc w:val="center"/>
        <w:rPr>
          <w:b/>
          <w:i/>
        </w:rPr>
        <w:sectPr>
          <w:headerReference w:type="default" r:id="rId9"/>
          <w:headerReference w:type="even" r:id="rId10"/>
          <w:footerReference w:type="even" r:id="rId11"/>
          <w:footnotePr/>
          <w:endnotePr/>
          <w:type w:val="nextPage"/>
          <w:pgSz w:h="16840" w:orient="portrait" w:w="11910"/>
          <w:pgMar w:top="1720" w:right="992" w:bottom="280" w:left="992" w:header="0" w:footer="0" w:gutter="0"/>
          <w:pgNumType w:start="22"/>
          <w:cols w:num="1" w:sep="0" w:space="1701" w:equalWidth="1"/>
        </w:sectPr>
      </w:pPr>
      <w:r>
        <w:rPr>
          <w:b/>
          <w:i/>
        </w:rPr>
      </w:r>
      <w:r>
        <w:rPr>
          <w:b/>
          <w:i/>
        </w:rPr>
      </w:r>
    </w:p>
    <w:p>
      <w:pPr>
        <w:pStyle w:val="997"/>
        <w:pBdr/>
        <w:spacing/>
        <w:ind/>
        <w:rPr>
          <w:b/>
          <w:i/>
        </w:rPr>
      </w:pPr>
      <w:r>
        <w:rPr>
          <w:b/>
          <w:i/>
        </w:rPr>
      </w:r>
      <w:r>
        <w:rPr>
          <w:b/>
          <w:i/>
        </w:rPr>
      </w:r>
    </w:p>
    <w:p>
      <w:pPr>
        <w:pStyle w:val="997"/>
        <w:pBdr/>
        <w:spacing/>
        <w:ind/>
        <w:rPr>
          <w:b/>
          <w:i/>
        </w:rPr>
      </w:pPr>
      <w:r>
        <w:rPr>
          <w:b/>
          <w:i/>
        </w:rPr>
      </w:r>
      <w:r>
        <w:rPr>
          <w:b/>
          <w:i/>
        </w:rPr>
      </w:r>
    </w:p>
    <w:p>
      <w:pPr>
        <w:pStyle w:val="997"/>
        <w:pBdr/>
        <w:spacing w:before="45"/>
        <w:ind/>
        <w:rPr>
          <w:b/>
          <w:i/>
        </w:rPr>
      </w:pPr>
      <w:r>
        <w:rPr>
          <w:b/>
          <w:i/>
        </w:rPr>
      </w:r>
      <w:r>
        <w:rPr>
          <w:b/>
          <w:i/>
        </w:rPr>
      </w:r>
    </w:p>
    <w:p>
      <w:pPr>
        <w:pStyle w:val="793"/>
        <w:pBdr/>
        <w:spacing/>
        <w:ind/>
        <w:rPr/>
      </w:pPr>
      <w:r>
        <w:rPr>
          <w:spacing w:val="-2"/>
        </w:rPr>
        <w:t xml:space="preserve">VISTI</w:t>
      </w:r>
      <w:r/>
    </w:p>
    <w:p>
      <w:pPr>
        <w:pStyle w:val="998"/>
        <w:numPr>
          <w:ilvl w:val="0"/>
          <w:numId w:val="18"/>
        </w:numPr>
        <w:pBdr/>
        <w:tabs>
          <w:tab w:val="left" w:leader="none" w:pos="501"/>
          <w:tab w:val="left" w:leader="none" w:pos="549"/>
        </w:tabs>
        <w:spacing w:before="120"/>
        <w:ind w:right="140" w:hanging="360" w:left="501"/>
        <w:rPr/>
      </w:pPr>
      <w:r>
        <w:t xml:space="preserve">Regolamento</w:t>
      </w:r>
      <w:r>
        <w:rPr>
          <w:spacing w:val="40"/>
        </w:rPr>
        <w:t xml:space="preserve"> </w:t>
      </w:r>
      <w:r>
        <w:t xml:space="preserve">(UE) 2021/1060 del Parlamento europeo e del Consiglio, del 24 giugno 2021, recante le disposizioni</w:t>
      </w:r>
      <w:r>
        <w:rPr>
          <w:spacing w:val="-1"/>
        </w:rPr>
        <w:t xml:space="preserve"> </w:t>
      </w:r>
      <w:r>
        <w:t xml:space="preserve">comuni</w:t>
      </w:r>
      <w:r>
        <w:rPr>
          <w:spacing w:val="-1"/>
        </w:rPr>
        <w:t xml:space="preserve"> </w:t>
      </w:r>
      <w:r>
        <w:t xml:space="preserve">applicabili</w:t>
      </w:r>
      <w:r>
        <w:rPr>
          <w:spacing w:val="-1"/>
        </w:rPr>
        <w:t xml:space="preserve"> </w:t>
      </w:r>
      <w:r>
        <w:t xml:space="preserve">al</w:t>
      </w:r>
      <w:r>
        <w:rPr>
          <w:spacing w:val="-1"/>
        </w:rPr>
        <w:t xml:space="preserve"> </w:t>
      </w:r>
      <w:r>
        <w:t xml:space="preserve">Fondo</w:t>
      </w:r>
      <w:r>
        <w:rPr>
          <w:spacing w:val="-1"/>
        </w:rPr>
        <w:t xml:space="preserve"> </w:t>
      </w:r>
      <w:r>
        <w:t xml:space="preserve">europeo</w:t>
      </w:r>
      <w:r>
        <w:rPr>
          <w:spacing w:val="-1"/>
        </w:rPr>
        <w:t xml:space="preserve"> </w:t>
      </w:r>
      <w:r>
        <w:t xml:space="preserve">di</w:t>
      </w:r>
      <w:r>
        <w:rPr>
          <w:spacing w:val="-1"/>
        </w:rPr>
        <w:t xml:space="preserve"> </w:t>
      </w:r>
      <w:r>
        <w:t xml:space="preserve">sviluppo</w:t>
      </w:r>
      <w:r>
        <w:rPr>
          <w:spacing w:val="-1"/>
        </w:rPr>
        <w:t xml:space="preserve"> </w:t>
      </w:r>
      <w:r>
        <w:t xml:space="preserve">regionale,</w:t>
      </w:r>
      <w:r>
        <w:rPr>
          <w:spacing w:val="-1"/>
        </w:rPr>
        <w:t xml:space="preserve"> </w:t>
      </w:r>
      <w:r>
        <w:t xml:space="preserve">al</w:t>
      </w:r>
      <w:r>
        <w:rPr>
          <w:spacing w:val="-1"/>
        </w:rPr>
        <w:t xml:space="preserve"> </w:t>
      </w:r>
      <w:r>
        <w:t xml:space="preserve">Fondo</w:t>
      </w:r>
      <w:r>
        <w:rPr>
          <w:spacing w:val="-1"/>
        </w:rPr>
        <w:t xml:space="preserve"> </w:t>
      </w:r>
      <w:r>
        <w:t xml:space="preserve">sociale</w:t>
      </w:r>
      <w:r>
        <w:rPr>
          <w:spacing w:val="-1"/>
        </w:rPr>
        <w:t xml:space="preserve"> </w:t>
      </w:r>
      <w:r>
        <w:t xml:space="preserve">europeo</w:t>
      </w:r>
      <w:r>
        <w:rPr>
          <w:spacing w:val="-1"/>
        </w:rPr>
        <w:t xml:space="preserve"> </w:t>
      </w:r>
      <w:r>
        <w:t xml:space="preserve">Plus,</w:t>
      </w:r>
      <w:r>
        <w:rPr>
          <w:spacing w:val="-1"/>
        </w:rPr>
        <w:t xml:space="preserve"> </w:t>
      </w:r>
      <w:r>
        <w:t xml:space="preserve">al Fondo di coesione, al Fondo per una transizione giusta, al Fondo europeo per gli affari</w:t>
      </w:r>
      <w:r>
        <w:t xml:space="preserve"> marittimi, la pesca e l’acquacoltura, e le regole finanziarie applicabili a tali fondi e al Fondo Asilo, migrazione e integrazione, al Fondo Sicurezza interna e allo Strumento di sostegno finanziario per la gestione delle frontiere e la politica dei visti</w:t>
      </w:r>
      <w:r/>
    </w:p>
    <w:p>
      <w:pPr>
        <w:pStyle w:val="998"/>
        <w:numPr>
          <w:ilvl w:val="0"/>
          <w:numId w:val="18"/>
        </w:numPr>
        <w:pBdr/>
        <w:tabs>
          <w:tab w:val="left" w:leader="none" w:pos="499"/>
          <w:tab w:val="left" w:leader="none" w:pos="501"/>
        </w:tabs>
        <w:spacing w:before="120"/>
        <w:ind w:right="142" w:hanging="360" w:left="501"/>
        <w:rPr/>
      </w:pPr>
      <w:r>
        <w:t xml:space="preserve">Regolamento (UE) 2021/1058 del Parlamento europeo e del Consiglio, del 24 giugno 2021, relativo al Fondo europeo di sviluppo regionale e al Fondo di coesione</w:t>
      </w:r>
      <w:r/>
    </w:p>
    <w:p>
      <w:pPr>
        <w:pStyle w:val="998"/>
        <w:numPr>
          <w:ilvl w:val="0"/>
          <w:numId w:val="18"/>
        </w:numPr>
        <w:pBdr/>
        <w:tabs>
          <w:tab w:val="left" w:leader="none" w:pos="499"/>
          <w:tab w:val="left" w:leader="none" w:pos="501"/>
        </w:tabs>
        <w:spacing w:before="120"/>
        <w:ind w:right="142" w:hanging="360" w:left="501"/>
        <w:rPr/>
      </w:pPr>
      <w:r>
        <w:t xml:space="preserve">Regolamento</w:t>
      </w:r>
      <w:r>
        <w:rPr>
          <w:spacing w:val="-3"/>
        </w:rPr>
        <w:t xml:space="preserve"> </w:t>
      </w:r>
      <w:r>
        <w:t xml:space="preserve">(UE)</w:t>
      </w:r>
      <w:r>
        <w:rPr>
          <w:spacing w:val="-3"/>
        </w:rPr>
        <w:t xml:space="preserve"> </w:t>
      </w:r>
      <w:r>
        <w:t xml:space="preserve">2021/1056</w:t>
      </w:r>
      <w:r>
        <w:rPr>
          <w:spacing w:val="-3"/>
        </w:rPr>
        <w:t xml:space="preserve"> </w:t>
      </w:r>
      <w:r>
        <w:t xml:space="preserve">del</w:t>
      </w:r>
      <w:r>
        <w:rPr>
          <w:spacing w:val="-3"/>
        </w:rPr>
        <w:t xml:space="preserve"> </w:t>
      </w:r>
      <w:r>
        <w:t xml:space="preserve">Parlamento</w:t>
      </w:r>
      <w:r>
        <w:rPr>
          <w:spacing w:val="-3"/>
        </w:rPr>
        <w:t xml:space="preserve"> </w:t>
      </w:r>
      <w:r>
        <w:t xml:space="preserve">europeo</w:t>
      </w:r>
      <w:r>
        <w:rPr>
          <w:spacing w:val="-3"/>
        </w:rPr>
        <w:t xml:space="preserve"> </w:t>
      </w:r>
      <w:r>
        <w:t xml:space="preserve">e</w:t>
      </w:r>
      <w:r>
        <w:rPr>
          <w:spacing w:val="-3"/>
        </w:rPr>
        <w:t xml:space="preserve"> </w:t>
      </w:r>
      <w:r>
        <w:t xml:space="preserve">del</w:t>
      </w:r>
      <w:r>
        <w:rPr>
          <w:spacing w:val="-3"/>
        </w:rPr>
        <w:t xml:space="preserve"> </w:t>
      </w:r>
      <w:r>
        <w:t xml:space="preserve">Consiglio,</w:t>
      </w:r>
      <w:r>
        <w:rPr>
          <w:spacing w:val="-3"/>
        </w:rPr>
        <w:t xml:space="preserve"> </w:t>
      </w:r>
      <w:r>
        <w:t xml:space="preserve">del</w:t>
      </w:r>
      <w:r>
        <w:rPr>
          <w:spacing w:val="-3"/>
        </w:rPr>
        <w:t xml:space="preserve"> </w:t>
      </w:r>
      <w:r>
        <w:t xml:space="preserve">24</w:t>
      </w:r>
      <w:r>
        <w:rPr>
          <w:spacing w:val="-3"/>
        </w:rPr>
        <w:t xml:space="preserve"> </w:t>
      </w:r>
      <w:r>
        <w:t xml:space="preserve">giugno</w:t>
      </w:r>
      <w:r>
        <w:rPr>
          <w:spacing w:val="-3"/>
        </w:rPr>
        <w:t xml:space="preserve"> </w:t>
      </w:r>
      <w:r>
        <w:t xml:space="preserve">2021,</w:t>
      </w:r>
      <w:r>
        <w:rPr>
          <w:spacing w:val="-3"/>
        </w:rPr>
        <w:t xml:space="preserve"> </w:t>
      </w:r>
      <w:r>
        <w:t xml:space="preserve">che</w:t>
      </w:r>
      <w:r>
        <w:rPr>
          <w:spacing w:val="-3"/>
        </w:rPr>
        <w:t xml:space="preserve"> </w:t>
      </w:r>
      <w:r>
        <w:t xml:space="preserve">istituisce il Fondo per una transizione giusta</w:t>
      </w:r>
      <w:r/>
    </w:p>
    <w:p>
      <w:pPr>
        <w:pStyle w:val="998"/>
        <w:numPr>
          <w:ilvl w:val="0"/>
          <w:numId w:val="18"/>
        </w:numPr>
        <w:pBdr/>
        <w:tabs>
          <w:tab w:val="left" w:leader="none" w:pos="499"/>
          <w:tab w:val="left" w:leader="none" w:pos="501"/>
        </w:tabs>
        <w:spacing w:before="120"/>
        <w:ind w:right="142" w:hanging="360" w:left="501"/>
        <w:rPr/>
      </w:pPr>
      <w:r>
        <w:t xml:space="preserve">Regolamento</w:t>
      </w:r>
      <w:r>
        <w:rPr>
          <w:spacing w:val="-3"/>
        </w:rPr>
        <w:t xml:space="preserve"> </w:t>
      </w:r>
      <w:r>
        <w:t xml:space="preserve">(UE)</w:t>
      </w:r>
      <w:r>
        <w:rPr>
          <w:spacing w:val="-3"/>
        </w:rPr>
        <w:t xml:space="preserve"> </w:t>
      </w:r>
      <w:r>
        <w:t xml:space="preserve">2021/1057</w:t>
      </w:r>
      <w:r>
        <w:rPr>
          <w:spacing w:val="-3"/>
        </w:rPr>
        <w:t xml:space="preserve"> </w:t>
      </w:r>
      <w:r>
        <w:t xml:space="preserve">del</w:t>
      </w:r>
      <w:r>
        <w:rPr>
          <w:spacing w:val="-3"/>
        </w:rPr>
        <w:t xml:space="preserve"> </w:t>
      </w:r>
      <w:r>
        <w:t xml:space="preserve">Parlamento</w:t>
      </w:r>
      <w:r>
        <w:rPr>
          <w:spacing w:val="-3"/>
        </w:rPr>
        <w:t xml:space="preserve"> </w:t>
      </w:r>
      <w:r>
        <w:t xml:space="preserve">europeo</w:t>
      </w:r>
      <w:r>
        <w:rPr>
          <w:spacing w:val="-3"/>
        </w:rPr>
        <w:t xml:space="preserve"> </w:t>
      </w:r>
      <w:r>
        <w:t xml:space="preserve">e</w:t>
      </w:r>
      <w:r>
        <w:rPr>
          <w:spacing w:val="-3"/>
        </w:rPr>
        <w:t xml:space="preserve"> </w:t>
      </w:r>
      <w:r>
        <w:t xml:space="preserve">del</w:t>
      </w:r>
      <w:r>
        <w:rPr>
          <w:spacing w:val="-3"/>
        </w:rPr>
        <w:t xml:space="preserve"> </w:t>
      </w:r>
      <w:r>
        <w:t xml:space="preserve">Consiglio,</w:t>
      </w:r>
      <w:r>
        <w:rPr>
          <w:spacing w:val="-3"/>
        </w:rPr>
        <w:t xml:space="preserve"> </w:t>
      </w:r>
      <w:r>
        <w:t xml:space="preserve">del</w:t>
      </w:r>
      <w:r>
        <w:rPr>
          <w:spacing w:val="-3"/>
        </w:rPr>
        <w:t xml:space="preserve"> </w:t>
      </w:r>
      <w:r>
        <w:t xml:space="preserve">24</w:t>
      </w:r>
      <w:r>
        <w:rPr>
          <w:spacing w:val="-3"/>
        </w:rPr>
        <w:t xml:space="preserve"> </w:t>
      </w:r>
      <w:r>
        <w:t xml:space="preserve">giugno</w:t>
      </w:r>
      <w:r>
        <w:rPr>
          <w:spacing w:val="-3"/>
        </w:rPr>
        <w:t xml:space="preserve"> </w:t>
      </w:r>
      <w:r>
        <w:t xml:space="preserve">2021,</w:t>
      </w:r>
      <w:r>
        <w:rPr>
          <w:spacing w:val="-3"/>
        </w:rPr>
        <w:t xml:space="preserve"> </w:t>
      </w:r>
      <w:r>
        <w:t xml:space="preserve">che</w:t>
      </w:r>
      <w:r>
        <w:rPr>
          <w:spacing w:val="-3"/>
        </w:rPr>
        <w:t xml:space="preserve"> </w:t>
      </w:r>
      <w:r>
        <w:t xml:space="preserve">istituisce il Fondo sociale europeo Plus (FSE+) e che abroga il regolamento (UE) n. 1296/2013</w:t>
      </w:r>
      <w:r/>
    </w:p>
    <w:p>
      <w:pPr>
        <w:pStyle w:val="998"/>
        <w:numPr>
          <w:ilvl w:val="0"/>
          <w:numId w:val="18"/>
        </w:numPr>
        <w:pBdr/>
        <w:tabs>
          <w:tab w:val="left" w:leader="none" w:pos="499"/>
          <w:tab w:val="left" w:leader="none" w:pos="501"/>
        </w:tabs>
        <w:spacing w:before="120"/>
        <w:ind w:right="142" w:hanging="360" w:left="501"/>
        <w:rPr/>
      </w:pPr>
      <w:r>
        <w:t xml:space="preserve">Regolamento (UE) 2</w:t>
      </w:r>
      <w:r>
        <w:t xml:space="preserve">021/1059 del Parlamento europeo e del Consiglio, del 24 giugno 2021, recante disposizioni specifiche per l’obiettivo «Cooperazione territoriale europea» (Interreg) sostenuto dal Fondo europeo di sviluppo regionale e dagli strumenti di finanziamento esterno</w:t>
      </w:r>
      <w:r/>
    </w:p>
    <w:p>
      <w:pPr>
        <w:pStyle w:val="998"/>
        <w:numPr>
          <w:ilvl w:val="0"/>
          <w:numId w:val="18"/>
        </w:numPr>
        <w:pBdr/>
        <w:tabs>
          <w:tab w:val="left" w:leader="none" w:pos="499"/>
          <w:tab w:val="left" w:leader="none" w:pos="501"/>
        </w:tabs>
        <w:spacing w:before="120"/>
        <w:ind w:right="139" w:hanging="360" w:left="501"/>
        <w:rPr/>
      </w:pPr>
      <w:r>
        <w:t xml:space="preserve">Regolamento (UE) 2023/435 del Parlamento Europeo e del Consiglio del 27 febbraio 2023 che modifica</w:t>
      </w:r>
      <w:r>
        <w:rPr>
          <w:spacing w:val="40"/>
        </w:rPr>
        <w:t xml:space="preserve"> </w:t>
      </w:r>
      <w:r>
        <w:t xml:space="preserve">i</w:t>
      </w:r>
      <w:r>
        <w:rPr>
          <w:spacing w:val="-2"/>
        </w:rPr>
        <w:t xml:space="preserve"> </w:t>
      </w:r>
      <w:r>
        <w:t xml:space="preserve">regolamenti</w:t>
      </w:r>
      <w:r>
        <w:rPr>
          <w:spacing w:val="-2"/>
        </w:rPr>
        <w:t xml:space="preserve"> </w:t>
      </w:r>
      <w:r>
        <w:t xml:space="preserve">UE</w:t>
      </w:r>
      <w:r>
        <w:rPr>
          <w:spacing w:val="-2"/>
        </w:rPr>
        <w:t xml:space="preserve"> </w:t>
      </w:r>
      <w:r>
        <w:t xml:space="preserve">2021/241</w:t>
      </w:r>
      <w:r>
        <w:rPr>
          <w:spacing w:val="-2"/>
        </w:rPr>
        <w:t xml:space="preserve"> </w:t>
      </w:r>
      <w:r>
        <w:t xml:space="preserve">(inserimento</w:t>
      </w:r>
      <w:r>
        <w:rPr>
          <w:spacing w:val="-2"/>
        </w:rPr>
        <w:t xml:space="preserve"> </w:t>
      </w:r>
      <w:r>
        <w:t xml:space="preserve">di</w:t>
      </w:r>
      <w:r>
        <w:rPr>
          <w:spacing w:val="-2"/>
        </w:rPr>
        <w:t xml:space="preserve"> </w:t>
      </w:r>
      <w:r>
        <w:t xml:space="preserve">capitoli</w:t>
      </w:r>
      <w:r>
        <w:rPr>
          <w:spacing w:val="-2"/>
        </w:rPr>
        <w:t xml:space="preserve"> </w:t>
      </w:r>
      <w:r>
        <w:t xml:space="preserve">dedicati</w:t>
      </w:r>
      <w:r>
        <w:rPr>
          <w:spacing w:val="-2"/>
        </w:rPr>
        <w:t xml:space="preserve"> </w:t>
      </w:r>
      <w:r>
        <w:t xml:space="preserve">al</w:t>
      </w:r>
      <w:r>
        <w:rPr>
          <w:spacing w:val="-2"/>
        </w:rPr>
        <w:t xml:space="preserve"> </w:t>
      </w:r>
      <w:r>
        <w:t xml:space="preserve">piano</w:t>
      </w:r>
      <w:r>
        <w:rPr>
          <w:spacing w:val="-2"/>
        </w:rPr>
        <w:t xml:space="preserve"> </w:t>
      </w:r>
      <w:r>
        <w:t xml:space="preserve">REPowerEU</w:t>
      </w:r>
      <w:r>
        <w:rPr>
          <w:spacing w:val="-2"/>
        </w:rPr>
        <w:t xml:space="preserve"> </w:t>
      </w:r>
      <w:r>
        <w:t xml:space="preserve">nei</w:t>
      </w:r>
      <w:r>
        <w:rPr>
          <w:spacing w:val="-2"/>
        </w:rPr>
        <w:t xml:space="preserve"> </w:t>
      </w:r>
      <w:r>
        <w:t xml:space="preserve">Pnrr),</w:t>
      </w:r>
      <w:r>
        <w:rPr>
          <w:spacing w:val="-2"/>
        </w:rPr>
        <w:t xml:space="preserve"> </w:t>
      </w:r>
      <w:r>
        <w:t xml:space="preserve">n.</w:t>
      </w:r>
      <w:r>
        <w:rPr>
          <w:spacing w:val="-2"/>
        </w:rPr>
        <w:t xml:space="preserve"> </w:t>
      </w:r>
      <w:r>
        <w:t xml:space="preserve">1303/2013 (misure eccezionali per l’uso dei fondi della Politica di Coesione 2014-2020) e 2021/1060 (programmazione 2021-2027)</w:t>
      </w:r>
      <w:r/>
    </w:p>
    <w:p>
      <w:pPr>
        <w:pStyle w:val="998"/>
        <w:numPr>
          <w:ilvl w:val="0"/>
          <w:numId w:val="18"/>
        </w:numPr>
        <w:pBdr/>
        <w:tabs>
          <w:tab w:val="left" w:leader="none" w:pos="499"/>
          <w:tab w:val="left" w:leader="none" w:pos="501"/>
        </w:tabs>
        <w:spacing w:before="120" w:line="259" w:lineRule="auto"/>
        <w:ind w:right="388" w:hanging="360" w:left="501"/>
        <w:rPr/>
      </w:pPr>
      <w:r>
        <w:rPr>
          <w:b/>
        </w:rPr>
        <w:t xml:space="preserve">Regolamento (UE) 2024/3236 </w:t>
      </w:r>
      <w:r>
        <w:t xml:space="preserve">del Parlamento europeo e del Consiglio del 19 dicembre 2024 che modifica</w:t>
      </w:r>
      <w:r>
        <w:rPr>
          <w:spacing w:val="-3"/>
        </w:rPr>
        <w:t xml:space="preserve"> </w:t>
      </w:r>
      <w:r>
        <w:t xml:space="preserve">i</w:t>
      </w:r>
      <w:r>
        <w:rPr>
          <w:spacing w:val="-3"/>
        </w:rPr>
        <w:t xml:space="preserve"> </w:t>
      </w:r>
      <w:r>
        <w:t xml:space="preserve">regolamenti</w:t>
      </w:r>
      <w:r>
        <w:rPr>
          <w:spacing w:val="-3"/>
        </w:rPr>
        <w:t xml:space="preserve"> </w:t>
      </w:r>
      <w:r>
        <w:t xml:space="preserve">(UE)</w:t>
      </w:r>
      <w:r>
        <w:rPr>
          <w:spacing w:val="-3"/>
        </w:rPr>
        <w:t xml:space="preserve"> </w:t>
      </w:r>
      <w:r>
        <w:t xml:space="preserve">2021/1057</w:t>
      </w:r>
      <w:r>
        <w:rPr>
          <w:spacing w:val="-3"/>
        </w:rPr>
        <w:t xml:space="preserve"> </w:t>
      </w:r>
      <w:r>
        <w:t xml:space="preserve">e</w:t>
      </w:r>
      <w:r>
        <w:rPr>
          <w:spacing w:val="-3"/>
        </w:rPr>
        <w:t xml:space="preserve"> </w:t>
      </w:r>
      <w:r>
        <w:t xml:space="preserve">(UE)</w:t>
      </w:r>
      <w:r>
        <w:rPr>
          <w:spacing w:val="-3"/>
        </w:rPr>
        <w:t xml:space="preserve"> </w:t>
      </w:r>
      <w:r>
        <w:t xml:space="preserve">2021/1058</w:t>
      </w:r>
      <w:r>
        <w:rPr>
          <w:spacing w:val="-3"/>
        </w:rPr>
        <w:t xml:space="preserve"> </w:t>
      </w:r>
      <w:r>
        <w:t xml:space="preserve">per</w:t>
      </w:r>
      <w:r>
        <w:rPr>
          <w:spacing w:val="-3"/>
        </w:rPr>
        <w:t xml:space="preserve"> </w:t>
      </w:r>
      <w:r>
        <w:t xml:space="preserve">quanto</w:t>
      </w:r>
      <w:r>
        <w:rPr>
          <w:spacing w:val="-3"/>
        </w:rPr>
        <w:t xml:space="preserve"> </w:t>
      </w:r>
      <w:r>
        <w:t xml:space="preserve">riguarda</w:t>
      </w:r>
      <w:r>
        <w:rPr>
          <w:spacing w:val="-3"/>
        </w:rPr>
        <w:t xml:space="preserve"> </w:t>
      </w:r>
      <w:r>
        <w:t xml:space="preserve">il</w:t>
      </w:r>
      <w:r>
        <w:rPr>
          <w:spacing w:val="-3"/>
        </w:rPr>
        <w:t xml:space="preserve"> </w:t>
      </w:r>
      <w:r>
        <w:t xml:space="preserve">sostegno</w:t>
      </w:r>
      <w:r>
        <w:rPr>
          <w:spacing w:val="-3"/>
        </w:rPr>
        <w:t xml:space="preserve"> </w:t>
      </w:r>
      <w:r>
        <w:t xml:space="preserve">regionale</w:t>
      </w:r>
      <w:r>
        <w:rPr>
          <w:spacing w:val="-3"/>
        </w:rPr>
        <w:t xml:space="preserve"> </w:t>
      </w:r>
      <w:r>
        <w:t xml:space="preserve">di emergenza per la ricostruzione (RESTORE).</w:t>
      </w:r>
      <w:r/>
    </w:p>
    <w:p>
      <w:pPr>
        <w:pStyle w:val="998"/>
        <w:numPr>
          <w:ilvl w:val="0"/>
          <w:numId w:val="18"/>
        </w:numPr>
        <w:pBdr/>
        <w:tabs>
          <w:tab w:val="left" w:leader="none" w:pos="499"/>
          <w:tab w:val="left" w:leader="none" w:pos="501"/>
        </w:tabs>
        <w:spacing w:before="160" w:line="259" w:lineRule="auto"/>
        <w:ind w:right="720" w:hanging="360" w:left="501"/>
        <w:rPr/>
      </w:pPr>
      <w:r>
        <w:rPr>
          <w:b/>
        </w:rPr>
        <w:t xml:space="preserve">Regolamento</w:t>
      </w:r>
      <w:r>
        <w:rPr>
          <w:b/>
          <w:spacing w:val="-3"/>
        </w:rPr>
        <w:t xml:space="preserve"> </w:t>
      </w:r>
      <w:r>
        <w:rPr>
          <w:b/>
        </w:rPr>
        <w:t xml:space="preserve">(UE)</w:t>
      </w:r>
      <w:r>
        <w:rPr>
          <w:b/>
          <w:spacing w:val="-3"/>
        </w:rPr>
        <w:t xml:space="preserve"> </w:t>
      </w:r>
      <w:r>
        <w:rPr>
          <w:b/>
        </w:rPr>
        <w:t xml:space="preserve">2025/1914</w:t>
      </w:r>
      <w:r>
        <w:rPr>
          <w:b/>
          <w:spacing w:val="-2"/>
        </w:rPr>
        <w:t xml:space="preserve"> </w:t>
      </w:r>
      <w:r>
        <w:t xml:space="preserve">del</w:t>
      </w:r>
      <w:r>
        <w:rPr>
          <w:spacing w:val="-3"/>
        </w:rPr>
        <w:t xml:space="preserve"> </w:t>
      </w:r>
      <w:r>
        <w:t xml:space="preserve">Parlamento</w:t>
      </w:r>
      <w:r>
        <w:rPr>
          <w:spacing w:val="-3"/>
        </w:rPr>
        <w:t xml:space="preserve"> </w:t>
      </w:r>
      <w:r>
        <w:t xml:space="preserve">europeo</w:t>
      </w:r>
      <w:r>
        <w:rPr>
          <w:spacing w:val="-3"/>
        </w:rPr>
        <w:t xml:space="preserve"> </w:t>
      </w:r>
      <w:r>
        <w:t xml:space="preserve">e</w:t>
      </w:r>
      <w:r>
        <w:rPr>
          <w:spacing w:val="-3"/>
        </w:rPr>
        <w:t xml:space="preserve"> </w:t>
      </w:r>
      <w:r>
        <w:t xml:space="preserve">del</w:t>
      </w:r>
      <w:r>
        <w:rPr>
          <w:spacing w:val="-3"/>
        </w:rPr>
        <w:t xml:space="preserve"> </w:t>
      </w:r>
      <w:r>
        <w:t xml:space="preserve">Consiglio</w:t>
      </w:r>
      <w:r>
        <w:rPr>
          <w:spacing w:val="-3"/>
        </w:rPr>
        <w:t xml:space="preserve"> </w:t>
      </w:r>
      <w:r>
        <w:t xml:space="preserve">del</w:t>
      </w:r>
      <w:r>
        <w:rPr>
          <w:spacing w:val="-3"/>
        </w:rPr>
        <w:t xml:space="preserve"> </w:t>
      </w:r>
      <w:r>
        <w:t xml:space="preserve">18</w:t>
      </w:r>
      <w:r>
        <w:rPr>
          <w:spacing w:val="-3"/>
        </w:rPr>
        <w:t xml:space="preserve"> </w:t>
      </w:r>
      <w:r>
        <w:t xml:space="preserve">settembre</w:t>
      </w:r>
      <w:r>
        <w:rPr>
          <w:spacing w:val="-3"/>
        </w:rPr>
        <w:t xml:space="preserve"> </w:t>
      </w:r>
      <w:r>
        <w:t xml:space="preserve">2025</w:t>
      </w:r>
      <w:r>
        <w:rPr>
          <w:spacing w:val="-3"/>
        </w:rPr>
        <w:t xml:space="preserve"> </w:t>
      </w:r>
      <w:r>
        <w:t xml:space="preserve">che modifica, tra gli altri, il regolamento (UE) 2021/1058 per quanto riguarda misure specifiche per affrontare le sfide strategiche nel contesto del riesame intermedio.</w:t>
      </w:r>
      <w:r/>
    </w:p>
    <w:p>
      <w:pPr>
        <w:pStyle w:val="998"/>
        <w:numPr>
          <w:ilvl w:val="0"/>
          <w:numId w:val="18"/>
        </w:numPr>
        <w:pBdr/>
        <w:tabs>
          <w:tab w:val="left" w:leader="none" w:pos="499"/>
          <w:tab w:val="left" w:leader="none" w:pos="501"/>
        </w:tabs>
        <w:spacing w:before="159"/>
        <w:ind w:right="147" w:hanging="360" w:left="501"/>
        <w:rPr/>
      </w:pPr>
      <w:r>
        <w:t xml:space="preserve">Regolamento (UE) 2020/852 del Parlamento europeo e del Consiglio del 18 giugno 2020 “Tassonomia per la finanza sostenibile”, che introduce il principio DNSH – Do No Significant Harm;</w:t>
      </w:r>
      <w:r/>
    </w:p>
    <w:p>
      <w:pPr>
        <w:pBdr/>
        <w:tabs>
          <w:tab w:val="left" w:leader="none" w:pos="499"/>
          <w:tab w:val="left" w:leader="none" w:pos="501"/>
        </w:tabs>
        <w:spacing w:before="159"/>
        <w:ind w:right="147" w:left="501"/>
        <w:jc w:val="both"/>
        <w:rPr/>
      </w:pPr>
      <w:r/>
      <w:r/>
    </w:p>
    <w:p>
      <w:pPr>
        <w:pStyle w:val="998"/>
        <w:numPr>
          <w:ilvl w:val="0"/>
          <w:numId w:val="18"/>
        </w:numPr>
        <w:pBdr/>
        <w:tabs>
          <w:tab w:val="left" w:leader="none" w:pos="498"/>
          <w:tab w:val="left" w:leader="none" w:pos="501"/>
        </w:tabs>
        <w:spacing/>
        <w:ind w:right="141" w:hanging="360" w:left="501"/>
        <w:rPr/>
      </w:pPr>
      <w:r>
        <w:t xml:space="preserve">Decisione SIEG - Decisione della </w:t>
      </w:r>
      <w:r>
        <w:t xml:space="preserve">Commissione C(2011) del 20 dicembre 2011 riguardante l’applicazione delle disposizioni dell’articolo 106, paragrafo 2, del trattato sul funzionamento dell’Unione europea agli aiuti di Stato sotto forma di compensazione degli obblighi di servizio pubblico, </w:t>
      </w:r>
      <w:r>
        <w:t xml:space="preserve">concessi a determinate imprese incaricate della gestione di servizi di interesse economico generale per i regimi sotto forma di compensazione degli oneri di servizio pubblico, ai sensi di altri Regolamenti di esenzione settoriale eventualmente applicabili.</w:t>
      </w:r>
      <w:r/>
    </w:p>
    <w:p>
      <w:pPr>
        <w:pStyle w:val="998"/>
        <w:numPr>
          <w:ilvl w:val="0"/>
          <w:numId w:val="18"/>
        </w:numPr>
        <w:pBdr/>
        <w:tabs>
          <w:tab w:val="left" w:leader="none" w:pos="498"/>
          <w:tab w:val="left" w:leader="none" w:pos="501"/>
        </w:tabs>
        <w:spacing w:before="120"/>
        <w:ind w:right="140" w:hanging="360" w:left="501"/>
        <w:rPr/>
      </w:pPr>
      <w:r>
        <w:t xml:space="preserve">Regolamento de minimis SIEG - Regolamento (UE) N. 360/2012 della</w:t>
      </w:r>
      <w:r>
        <w:t xml:space="preserve"> Commissione del 25 aprile 2012 relativo all’applicazione degli articoli 107 e 108 del trattato sul funzionamento dell'Unione europea agli aiuti di importanza minore («de minimis») concessi ad imprese che forniscono servizi di interesse economico generale.</w:t>
      </w:r>
      <w:r/>
    </w:p>
    <w:p>
      <w:pPr>
        <w:pStyle w:val="998"/>
        <w:pBdr/>
        <w:spacing/>
        <w:ind/>
        <w:rPr/>
        <w:sectPr>
          <w:footnotePr/>
          <w:endnotePr/>
          <w:type w:val="nextPage"/>
          <w:pgSz w:h="16840" w:orient="portrait" w:w="11910"/>
          <w:pgMar w:top="1720" w:right="992" w:bottom="880" w:left="992" w:header="735" w:footer="682" w:gutter="0"/>
          <w:pgNumType w:start="23"/>
          <w:cols w:num="1" w:sep="0" w:space="1701" w:equalWidth="1"/>
        </w:sectPr>
      </w:pPr>
      <w:r/>
      <w:r/>
    </w:p>
    <w:p>
      <w:pPr>
        <w:pStyle w:val="997"/>
        <w:pBdr/>
        <w:spacing w:before="45"/>
        <w:ind/>
        <w:rPr/>
      </w:pPr>
      <w:r/>
      <w:r/>
    </w:p>
    <w:p>
      <w:pPr>
        <w:pStyle w:val="998"/>
        <w:numPr>
          <w:ilvl w:val="0"/>
          <w:numId w:val="18"/>
        </w:numPr>
        <w:pBdr/>
        <w:tabs>
          <w:tab w:val="left" w:leader="none" w:pos="498"/>
        </w:tabs>
        <w:spacing/>
        <w:ind w:hanging="357" w:left="498"/>
        <w:rPr/>
      </w:pPr>
      <w:r>
        <w:t xml:space="preserve">Regolamento</w:t>
      </w:r>
      <w:r>
        <w:rPr>
          <w:spacing w:val="-3"/>
        </w:rPr>
        <w:t xml:space="preserve"> </w:t>
      </w:r>
      <w:r>
        <w:t xml:space="preserve">UE</w:t>
      </w:r>
      <w:r>
        <w:rPr>
          <w:spacing w:val="-3"/>
        </w:rPr>
        <w:t xml:space="preserve"> </w:t>
      </w:r>
      <w:r>
        <w:t xml:space="preserve">n.</w:t>
      </w:r>
      <w:r>
        <w:rPr>
          <w:spacing w:val="-3"/>
        </w:rPr>
        <w:t xml:space="preserve"> </w:t>
      </w:r>
      <w:r>
        <w:t xml:space="preserve">460/2020</w:t>
      </w:r>
      <w:r>
        <w:rPr>
          <w:spacing w:val="-3"/>
        </w:rPr>
        <w:t xml:space="preserve"> </w:t>
      </w:r>
      <w:r>
        <w:t xml:space="preserve">di</w:t>
      </w:r>
      <w:r>
        <w:rPr>
          <w:spacing w:val="-3"/>
        </w:rPr>
        <w:t xml:space="preserve"> </w:t>
      </w:r>
      <w:r>
        <w:t xml:space="preserve">modifica</w:t>
      </w:r>
      <w:r>
        <w:rPr>
          <w:spacing w:val="-3"/>
        </w:rPr>
        <w:t xml:space="preserve"> </w:t>
      </w:r>
      <w:r>
        <w:t xml:space="preserve">dei</w:t>
      </w:r>
      <w:r>
        <w:rPr>
          <w:spacing w:val="-3"/>
        </w:rPr>
        <w:t xml:space="preserve"> </w:t>
      </w:r>
      <w:r>
        <w:t xml:space="preserve">regolamenti</w:t>
      </w:r>
      <w:r>
        <w:rPr>
          <w:spacing w:val="-3"/>
        </w:rPr>
        <w:t xml:space="preserve"> </w:t>
      </w:r>
      <w:r>
        <w:t xml:space="preserve">su</w:t>
      </w:r>
      <w:r>
        <w:rPr>
          <w:spacing w:val="-3"/>
        </w:rPr>
        <w:t xml:space="preserve"> </w:t>
      </w:r>
      <w:r>
        <w:t xml:space="preserve">fondi</w:t>
      </w:r>
      <w:r>
        <w:rPr>
          <w:spacing w:val="-3"/>
        </w:rPr>
        <w:t xml:space="preserve"> </w:t>
      </w:r>
      <w:r>
        <w:t xml:space="preserve">SIE</w:t>
      </w:r>
      <w:r>
        <w:rPr>
          <w:spacing w:val="-3"/>
        </w:rPr>
        <w:t xml:space="preserve"> </w:t>
      </w:r>
      <w:r>
        <w:t xml:space="preserve">e</w:t>
      </w:r>
      <w:r>
        <w:rPr>
          <w:spacing w:val="-2"/>
        </w:rPr>
        <w:t xml:space="preserve"> </w:t>
      </w:r>
      <w:r>
        <w:rPr>
          <w:spacing w:val="-4"/>
        </w:rPr>
        <w:t xml:space="preserve">FESR</w:t>
      </w:r>
      <w:r/>
    </w:p>
    <w:p>
      <w:pPr>
        <w:pStyle w:val="998"/>
        <w:numPr>
          <w:ilvl w:val="0"/>
          <w:numId w:val="18"/>
        </w:numPr>
        <w:pBdr/>
        <w:tabs>
          <w:tab w:val="left" w:leader="none" w:pos="498"/>
        </w:tabs>
        <w:spacing w:before="120"/>
        <w:ind w:hanging="357" w:left="498"/>
        <w:rPr/>
      </w:pPr>
      <w:r>
        <w:t xml:space="preserve">Regolamento</w:t>
      </w:r>
      <w:r>
        <w:rPr>
          <w:spacing w:val="-3"/>
        </w:rPr>
        <w:t xml:space="preserve"> </w:t>
      </w:r>
      <w:r>
        <w:t xml:space="preserve">UE</w:t>
      </w:r>
      <w:r>
        <w:rPr>
          <w:spacing w:val="-3"/>
        </w:rPr>
        <w:t xml:space="preserve"> </w:t>
      </w:r>
      <w:r>
        <w:t xml:space="preserve">n.</w:t>
      </w:r>
      <w:r>
        <w:rPr>
          <w:spacing w:val="-3"/>
        </w:rPr>
        <w:t xml:space="preserve"> </w:t>
      </w:r>
      <w:r>
        <w:t xml:space="preserve">558/2020</w:t>
      </w:r>
      <w:r>
        <w:rPr>
          <w:spacing w:val="-3"/>
        </w:rPr>
        <w:t xml:space="preserve"> </w:t>
      </w:r>
      <w:r>
        <w:t xml:space="preserve">di</w:t>
      </w:r>
      <w:r>
        <w:rPr>
          <w:spacing w:val="-3"/>
        </w:rPr>
        <w:t xml:space="preserve"> </w:t>
      </w:r>
      <w:r>
        <w:t xml:space="preserve">modifica</w:t>
      </w:r>
      <w:r>
        <w:rPr>
          <w:spacing w:val="-3"/>
        </w:rPr>
        <w:t xml:space="preserve"> </w:t>
      </w:r>
      <w:r>
        <w:t xml:space="preserve">dei</w:t>
      </w:r>
      <w:r>
        <w:rPr>
          <w:spacing w:val="-3"/>
        </w:rPr>
        <w:t xml:space="preserve"> </w:t>
      </w:r>
      <w:r>
        <w:t xml:space="preserve">regolamenti</w:t>
      </w:r>
      <w:r>
        <w:rPr>
          <w:spacing w:val="-3"/>
        </w:rPr>
        <w:t xml:space="preserve"> </w:t>
      </w:r>
      <w:r>
        <w:t xml:space="preserve">su</w:t>
      </w:r>
      <w:r>
        <w:rPr>
          <w:spacing w:val="-3"/>
        </w:rPr>
        <w:t xml:space="preserve"> </w:t>
      </w:r>
      <w:r>
        <w:t xml:space="preserve">fondi</w:t>
      </w:r>
      <w:r>
        <w:rPr>
          <w:spacing w:val="-3"/>
        </w:rPr>
        <w:t xml:space="preserve"> </w:t>
      </w:r>
      <w:r>
        <w:t xml:space="preserve">SIE</w:t>
      </w:r>
      <w:r>
        <w:rPr>
          <w:spacing w:val="-3"/>
        </w:rPr>
        <w:t xml:space="preserve"> </w:t>
      </w:r>
      <w:r>
        <w:t xml:space="preserve">e</w:t>
      </w:r>
      <w:r>
        <w:rPr>
          <w:spacing w:val="-2"/>
        </w:rPr>
        <w:t xml:space="preserve"> </w:t>
      </w:r>
      <w:r>
        <w:rPr>
          <w:spacing w:val="-4"/>
        </w:rPr>
        <w:t xml:space="preserve">FESR</w:t>
      </w:r>
      <w:r/>
    </w:p>
    <w:p>
      <w:pPr>
        <w:pStyle w:val="998"/>
        <w:numPr>
          <w:ilvl w:val="0"/>
          <w:numId w:val="18"/>
        </w:numPr>
        <w:pBdr/>
        <w:tabs>
          <w:tab w:val="left" w:leader="none" w:pos="498"/>
          <w:tab w:val="left" w:leader="none" w:pos="501"/>
        </w:tabs>
        <w:spacing w:before="120"/>
        <w:ind w:right="139" w:hanging="360" w:left="501"/>
        <w:rPr/>
      </w:pPr>
      <w:r>
        <w:t xml:space="preserve">Accordo di partenariato 2021-2027 tra Italia e Commissione europea relativo al ciclo di</w:t>
      </w:r>
      <w:r>
        <w:rPr>
          <w:spacing w:val="40"/>
        </w:rPr>
        <w:t xml:space="preserve"> </w:t>
      </w:r>
      <w:r>
        <w:t xml:space="preserve">programmazione 2021-2027 approvato con Decisione di esecuzione della CE n. C (2022) 4787 del 15 luglio 2022 e successivamente firmato e adottato il 19 luglio 2022, quale documento di orien</w:t>
      </w:r>
      <w:r>
        <w:t xml:space="preserve">tamento strategico per la programmazione dei fondi FESR (Fondo europeo per lo sviluppo regionale), FSE+ (Fondo sociale europeo plus), Fondo di Coesione, JTF (Just transition fund) e FEAMPA (Fondo Europeo per gli Affari Marittimi, la Pesca e l'Acquacoltura)</w:t>
      </w:r>
      <w:r/>
    </w:p>
    <w:p>
      <w:pPr>
        <w:pStyle w:val="998"/>
        <w:numPr>
          <w:ilvl w:val="0"/>
          <w:numId w:val="18"/>
        </w:numPr>
        <w:pBdr/>
        <w:tabs>
          <w:tab w:val="left" w:leader="none" w:pos="498"/>
          <w:tab w:val="left" w:leader="none" w:pos="501"/>
        </w:tabs>
        <w:spacing w:before="120"/>
        <w:ind w:right="139" w:hanging="360" w:left="501"/>
        <w:rPr/>
      </w:pPr>
      <w:r>
        <w:t xml:space="preserve">Delibera n. 78 del 22 dicembre 2021 con cui il CIPESS ha approvato la proposta di accordo di partenariato (AP) per l’Italia di cui al</w:t>
      </w:r>
      <w:r>
        <w:t xml:space="preserve"> Regolamento (UE) n. 2021/1060 del Parlamento europeo e del Consiglio del 24 giugno 2021 di disposizioni comuni (RDC) concernente la programmazione dei Fondi FESR, FSE Plus, JTF e FEAMPA per il periodo di programmazione 2021- 2027, autorizzando il Ministro</w:t>
      </w:r>
      <w:r>
        <w:rPr>
          <w:spacing w:val="40"/>
        </w:rPr>
        <w:t xml:space="preserve"> </w:t>
      </w:r>
      <w:r>
        <w:t xml:space="preserve">per il Sud e la Coesione Territoriale all’avvio e alla conduzione del negoziato formale;</w:t>
      </w:r>
      <w:r/>
    </w:p>
    <w:p>
      <w:pPr>
        <w:pStyle w:val="998"/>
        <w:numPr>
          <w:ilvl w:val="0"/>
          <w:numId w:val="18"/>
        </w:numPr>
        <w:pBdr/>
        <w:tabs>
          <w:tab w:val="left" w:leader="none" w:pos="498"/>
          <w:tab w:val="left" w:leader="none" w:pos="501"/>
        </w:tabs>
        <w:spacing w:before="120"/>
        <w:ind w:right="141" w:hanging="360" w:left="501"/>
        <w:rPr/>
      </w:pPr>
      <w:r>
        <w:t xml:space="preserve">Decisione </w:t>
      </w:r>
      <w:r>
        <w:t xml:space="preserve">C(</w:t>
      </w:r>
      <w:r>
        <w:t xml:space="preserve">2022)9366 dell'8 dicembre 2022, con cui la Commissione UE ha approvato il Programma Regionale FESR Sicilia 2021/2027;</w:t>
      </w:r>
      <w:r/>
    </w:p>
    <w:p>
      <w:pPr>
        <w:pStyle w:val="998"/>
        <w:numPr>
          <w:ilvl w:val="0"/>
          <w:numId w:val="18"/>
        </w:numPr>
        <w:pBdr/>
        <w:tabs>
          <w:tab w:val="left" w:leader="none" w:pos="498"/>
          <w:tab w:val="left" w:leader="none" w:pos="501"/>
        </w:tabs>
        <w:spacing w:before="120"/>
        <w:ind w:right="142" w:hanging="360" w:left="501"/>
        <w:rPr/>
      </w:pPr>
      <w:r>
        <w:t xml:space="preserve">DPR 10 marzo 2025, n. 66 “Re</w:t>
      </w:r>
      <w:r>
        <w:t xml:space="preserve">golamento recante i criteri sull'ammissibilità della spesa per i programmi cofinanziati dai fondi per la politica di coesione e dagli altri fondi europei a gestione concorrente di cui al Regolamento (UE) 2021/1060 per il periodo di programmazione 2021/2027</w:t>
      </w:r>
      <w:r>
        <w:rPr>
          <w:rFonts w:ascii="Times New Roman" w:hAnsi="Times New Roman"/>
          <w:sz w:val="24"/>
        </w:rPr>
        <w:t xml:space="preserve">”</w:t>
      </w:r>
      <w:r>
        <w:t xml:space="preserve">il D.Lgs. 18-4-2016 n. 50, “Codice dei contratti pubblici”, e successive modificazione e integrazioni.</w:t>
      </w:r>
      <w:r/>
    </w:p>
    <w:p>
      <w:pPr>
        <w:pStyle w:val="998"/>
        <w:numPr>
          <w:ilvl w:val="0"/>
          <w:numId w:val="18"/>
        </w:numPr>
        <w:pBdr/>
        <w:tabs>
          <w:tab w:val="left" w:leader="none" w:pos="501"/>
        </w:tabs>
        <w:spacing/>
        <w:ind w:right="148" w:hanging="360" w:left="501"/>
        <w:rPr>
          <w:rFonts w:ascii="Times New Roman" w:hAnsi="Times New Roman"/>
        </w:rPr>
      </w:pPr>
      <w:r>
        <w:t xml:space="preserve">Il D.L. 16 luglio 2020, n. 76, recante «Misure urgenti per la semplificazione e l’innovazione digitali» (Decreto Semplificazioni) conv. con L. 11 settembre 2020, n. 120;</w:t>
      </w:r>
      <w:r>
        <w:rPr>
          <w:rFonts w:ascii="Times New Roman" w:hAnsi="Times New Roman"/>
        </w:rPr>
      </w:r>
    </w:p>
    <w:p>
      <w:pPr>
        <w:pStyle w:val="998"/>
        <w:numPr>
          <w:ilvl w:val="0"/>
          <w:numId w:val="18"/>
        </w:numPr>
        <w:pBdr/>
        <w:tabs>
          <w:tab w:val="left" w:leader="none" w:pos="501"/>
        </w:tabs>
        <w:spacing/>
        <w:ind w:right="145" w:hanging="360" w:left="501"/>
        <w:rPr>
          <w:rFonts w:ascii="Times New Roman"/>
        </w:rPr>
      </w:pPr>
      <w:r>
        <w:t xml:space="preserve">Il D.L. 31 maggio 2021, n. 77, recante governance del Piano nazionale di Ripresa e Resilienza e prime misure</w:t>
      </w:r>
      <w:r>
        <w:rPr>
          <w:spacing w:val="-4"/>
        </w:rPr>
        <w:t xml:space="preserve"> </w:t>
      </w:r>
      <w:r>
        <w:t xml:space="preserve">di</w:t>
      </w:r>
      <w:r>
        <w:rPr>
          <w:spacing w:val="-4"/>
        </w:rPr>
        <w:t xml:space="preserve"> </w:t>
      </w:r>
      <w:r>
        <w:t xml:space="preserve">rafforzamento</w:t>
      </w:r>
      <w:r>
        <w:rPr>
          <w:spacing w:val="-4"/>
        </w:rPr>
        <w:t xml:space="preserve"> </w:t>
      </w:r>
      <w:r>
        <w:t xml:space="preserve">delle</w:t>
      </w:r>
      <w:r>
        <w:rPr>
          <w:spacing w:val="-4"/>
        </w:rPr>
        <w:t xml:space="preserve"> </w:t>
      </w:r>
      <w:r>
        <w:t xml:space="preserve">strutture</w:t>
      </w:r>
      <w:r>
        <w:rPr>
          <w:spacing w:val="-4"/>
        </w:rPr>
        <w:t xml:space="preserve"> </w:t>
      </w:r>
      <w:r>
        <w:t xml:space="preserve">amministrative</w:t>
      </w:r>
      <w:r>
        <w:rPr>
          <w:spacing w:val="-4"/>
        </w:rPr>
        <w:t xml:space="preserve"> </w:t>
      </w:r>
      <w:r>
        <w:t xml:space="preserve">e</w:t>
      </w:r>
      <w:r>
        <w:rPr>
          <w:spacing w:val="-4"/>
        </w:rPr>
        <w:t xml:space="preserve"> </w:t>
      </w:r>
      <w:r>
        <w:t xml:space="preserve">di</w:t>
      </w:r>
      <w:r>
        <w:rPr>
          <w:spacing w:val="-4"/>
        </w:rPr>
        <w:t xml:space="preserve"> </w:t>
      </w:r>
      <w:r>
        <w:t xml:space="preserve">accelerazione</w:t>
      </w:r>
      <w:r>
        <w:rPr>
          <w:spacing w:val="-4"/>
        </w:rPr>
        <w:t xml:space="preserve"> </w:t>
      </w:r>
      <w:r>
        <w:t xml:space="preserve">e</w:t>
      </w:r>
      <w:r>
        <w:rPr>
          <w:spacing w:val="-4"/>
        </w:rPr>
        <w:t xml:space="preserve"> </w:t>
      </w:r>
      <w:r>
        <w:t xml:space="preserve">snellimento</w:t>
      </w:r>
      <w:r>
        <w:rPr>
          <w:spacing w:val="-4"/>
        </w:rPr>
        <w:t xml:space="preserve"> </w:t>
      </w:r>
      <w:r>
        <w:t xml:space="preserve">delle</w:t>
      </w:r>
      <w:r>
        <w:rPr>
          <w:spacing w:val="-4"/>
        </w:rPr>
        <w:t xml:space="preserve"> </w:t>
      </w:r>
      <w:r>
        <w:t xml:space="preserve">procedure conv. con L. 29 luglio 2021, n. 108;</w:t>
      </w:r>
      <w:r>
        <w:rPr>
          <w:rFonts w:ascii="Times New Roman"/>
        </w:rPr>
      </w:r>
    </w:p>
    <w:p>
      <w:pPr>
        <w:pStyle w:val="998"/>
        <w:numPr>
          <w:ilvl w:val="0"/>
          <w:numId w:val="18"/>
        </w:numPr>
        <w:pBdr/>
        <w:tabs>
          <w:tab w:val="left" w:leader="none" w:pos="501"/>
        </w:tabs>
        <w:spacing/>
        <w:ind w:hanging="360" w:left="501"/>
        <w:rPr>
          <w:rFonts w:ascii="Times New Roman"/>
        </w:rPr>
      </w:pPr>
      <w:r>
        <w:t xml:space="preserve">D.L.17</w:t>
      </w:r>
      <w:r>
        <w:rPr>
          <w:spacing w:val="-3"/>
        </w:rPr>
        <w:t xml:space="preserve"> </w:t>
      </w:r>
      <w:r>
        <w:t xml:space="preserve">maggio</w:t>
      </w:r>
      <w:r>
        <w:rPr>
          <w:spacing w:val="-3"/>
        </w:rPr>
        <w:t xml:space="preserve"> </w:t>
      </w:r>
      <w:r>
        <w:t xml:space="preserve">2022,</w:t>
      </w:r>
      <w:r>
        <w:rPr>
          <w:spacing w:val="-3"/>
        </w:rPr>
        <w:t xml:space="preserve"> </w:t>
      </w:r>
      <w:r>
        <w:t xml:space="preserve">n.</w:t>
      </w:r>
      <w:r>
        <w:rPr>
          <w:spacing w:val="-3"/>
        </w:rPr>
        <w:t xml:space="preserve"> </w:t>
      </w:r>
      <w:r>
        <w:t xml:space="preserve">50,</w:t>
      </w:r>
      <w:r>
        <w:rPr>
          <w:spacing w:val="-3"/>
        </w:rPr>
        <w:t xml:space="preserve"> </w:t>
      </w:r>
      <w:r>
        <w:t xml:space="preserve">conv.</w:t>
      </w:r>
      <w:r>
        <w:rPr>
          <w:spacing w:val="-3"/>
        </w:rPr>
        <w:t xml:space="preserve"> </w:t>
      </w:r>
      <w:r>
        <w:t xml:space="preserve">con</w:t>
      </w:r>
      <w:r>
        <w:rPr>
          <w:spacing w:val="-3"/>
        </w:rPr>
        <w:t xml:space="preserve"> </w:t>
      </w:r>
      <w:r>
        <w:t xml:space="preserve">L.</w:t>
      </w:r>
      <w:r>
        <w:rPr>
          <w:spacing w:val="-3"/>
        </w:rPr>
        <w:t xml:space="preserve"> </w:t>
      </w:r>
      <w:r>
        <w:t xml:space="preserve">15</w:t>
      </w:r>
      <w:r>
        <w:rPr>
          <w:spacing w:val="-3"/>
        </w:rPr>
        <w:t xml:space="preserve"> </w:t>
      </w:r>
      <w:r>
        <w:t xml:space="preserve">luglio</w:t>
      </w:r>
      <w:r>
        <w:rPr>
          <w:spacing w:val="-3"/>
        </w:rPr>
        <w:t xml:space="preserve"> </w:t>
      </w:r>
      <w:r>
        <w:t xml:space="preserve">2022,</w:t>
      </w:r>
      <w:r>
        <w:rPr>
          <w:spacing w:val="-3"/>
        </w:rPr>
        <w:t xml:space="preserve"> </w:t>
      </w:r>
      <w:r>
        <w:t xml:space="preserve">n.</w:t>
      </w:r>
      <w:r>
        <w:rPr>
          <w:spacing w:val="-2"/>
        </w:rPr>
        <w:t xml:space="preserve"> </w:t>
      </w:r>
      <w:r>
        <w:rPr>
          <w:spacing w:val="-5"/>
        </w:rPr>
        <w:t xml:space="preserve">91;</w:t>
      </w:r>
      <w:r>
        <w:rPr>
          <w:rFonts w:ascii="Times New Roman"/>
        </w:rPr>
      </w:r>
    </w:p>
    <w:p>
      <w:pPr>
        <w:pStyle w:val="998"/>
        <w:numPr>
          <w:ilvl w:val="0"/>
          <w:numId w:val="18"/>
        </w:numPr>
        <w:pBdr/>
        <w:tabs>
          <w:tab w:val="left" w:leader="none" w:pos="501"/>
        </w:tabs>
        <w:spacing/>
        <w:ind w:right="147" w:hanging="360" w:left="501"/>
        <w:rPr>
          <w:rFonts w:ascii="Times New Roman"/>
        </w:rPr>
      </w:pPr>
      <w:r>
        <w:t xml:space="preserve">Il D. Lgs. 31 marzo 2023, n. 36 Codice dei contratti pubblici in attuazione dell'articolo 1 della legge 21 giugno 2022, n. 78, recante delega al Governo in materia di contratti pubblici;</w:t>
      </w:r>
      <w:r>
        <w:rPr>
          <w:rFonts w:ascii="Times New Roman"/>
        </w:rPr>
      </w:r>
    </w:p>
    <w:p>
      <w:pPr>
        <w:pStyle w:val="998"/>
        <w:numPr>
          <w:ilvl w:val="0"/>
          <w:numId w:val="18"/>
        </w:numPr>
        <w:pBdr/>
        <w:tabs>
          <w:tab w:val="left" w:leader="none" w:pos="498"/>
          <w:tab w:val="left" w:leader="none" w:pos="501"/>
        </w:tabs>
        <w:spacing w:before="120"/>
        <w:ind w:right="139" w:hanging="360" w:left="501"/>
        <w:rPr/>
      </w:pPr>
      <w:r>
        <w:t xml:space="preserve">la Legge Regione Siciliana 5 aprile 2011 n. 5 – Disposizioni per la trasparenza, la semplificazione, l’efficienza, l’informatizzazio</w:t>
      </w:r>
      <w:r>
        <w:t xml:space="preserve">ne della pubblica amministrazione e l’agevolazione delle iniziative economiche. Disposizioni per il contrasto alla corruzione ed alla criminalità organizzata di stampo mafioso. Disposizioni per il riordino e la semplificazione della legislazione regionale;</w:t>
      </w:r>
      <w:r/>
    </w:p>
    <w:p>
      <w:pPr>
        <w:pStyle w:val="998"/>
        <w:numPr>
          <w:ilvl w:val="0"/>
          <w:numId w:val="18"/>
        </w:numPr>
        <w:pBdr/>
        <w:tabs>
          <w:tab w:val="left" w:leader="none" w:pos="498"/>
          <w:tab w:val="left" w:leader="none" w:pos="501"/>
        </w:tabs>
        <w:spacing w:before="120"/>
        <w:ind w:right="141" w:hanging="360" w:left="501"/>
        <w:rPr/>
      </w:pPr>
      <w:r>
        <w:t xml:space="preserve">Legge Regione Sicilia 21 maggio 2019, n. 7 “Disposizioni per i procedimenti amministrativi e la funzionalità dell’azione amministrativa”;</w:t>
      </w:r>
      <w:r/>
    </w:p>
    <w:p>
      <w:pPr>
        <w:pStyle w:val="998"/>
        <w:numPr>
          <w:ilvl w:val="0"/>
          <w:numId w:val="18"/>
        </w:numPr>
        <w:pBdr/>
        <w:tabs>
          <w:tab w:val="left" w:leader="none" w:pos="498"/>
          <w:tab w:val="left" w:leader="none" w:pos="501"/>
        </w:tabs>
        <w:spacing w:before="120"/>
        <w:ind w:right="139" w:hanging="360" w:left="501"/>
        <w:rPr/>
      </w:pPr>
      <w:r>
        <w:t xml:space="preserve">Deliberazione n. 102 del 15 febbraio 2023 con la quale la Giunta regionale ha adottato il Programma Regionale FESR Sicilia 2021/2027, approvato dalla Commissione Europea con Decisione </w:t>
      </w:r>
      <w:r>
        <w:t xml:space="preserve">C(</w:t>
      </w:r>
      <w:r>
        <w:t xml:space="preserve">2022)9366 dell'8 dicembre 2022;</w:t>
      </w:r>
      <w:r/>
    </w:p>
    <w:p>
      <w:pPr>
        <w:pStyle w:val="998"/>
        <w:numPr>
          <w:ilvl w:val="0"/>
          <w:numId w:val="18"/>
        </w:numPr>
        <w:pBdr/>
        <w:tabs>
          <w:tab w:val="left" w:leader="none" w:pos="498"/>
          <w:tab w:val="left" w:leader="none" w:pos="501"/>
        </w:tabs>
        <w:spacing w:before="120"/>
        <w:ind w:right="139" w:hanging="360" w:left="501"/>
        <w:rPr/>
      </w:pPr>
      <w:r>
        <w:t xml:space="preserve">Deliberazione della Giunta regionale 14 novembre 2024, n. 358: 'Programma Regionale FESR Sicilia 2021/2027. Decisione della Commissione </w:t>
      </w:r>
      <w:r>
        <w:t xml:space="preserve">C(</w:t>
      </w:r>
      <w:r>
        <w:t xml:space="preserve">2024)7098 final dell'8 ottobre 2024. Adozione definitiva;</w:t>
      </w:r>
      <w:r/>
    </w:p>
    <w:p>
      <w:pPr>
        <w:pStyle w:val="998"/>
        <w:numPr>
          <w:ilvl w:val="0"/>
          <w:numId w:val="18"/>
        </w:numPr>
        <w:pBdr/>
        <w:tabs>
          <w:tab w:val="left" w:leader="none" w:pos="498"/>
          <w:tab w:val="left" w:leader="none" w:pos="501"/>
        </w:tabs>
        <w:spacing w:before="120"/>
        <w:ind w:right="140" w:hanging="360" w:left="501"/>
        <w:rPr/>
      </w:pPr>
      <w:r>
        <w:t xml:space="preserve">Deliberazione della Giunta Regi</w:t>
      </w:r>
      <w:r>
        <w:t xml:space="preserve">onale n. 211 del 08 luglio 2025, con la quale la Giunta regionale di Governo ha apprezzato la proposta di riprogrammazione del PR FESR Sicilia 2021/2027 in applicazione del Regolamento (UE) 2024/3236 del Parlamento europeo e del Consiglio 19 dicembre 2024;</w:t>
      </w:r>
      <w:r/>
    </w:p>
    <w:p>
      <w:pPr>
        <w:pStyle w:val="998"/>
        <w:numPr>
          <w:ilvl w:val="0"/>
          <w:numId w:val="18"/>
        </w:numPr>
        <w:pBdr/>
        <w:tabs>
          <w:tab w:val="left" w:leader="none" w:pos="498"/>
          <w:tab w:val="left" w:leader="none" w:pos="501"/>
        </w:tabs>
        <w:spacing w:before="120"/>
        <w:ind w:right="140" w:hanging="360" w:left="501"/>
        <w:rPr/>
      </w:pPr>
      <w:r>
        <w:t xml:space="preserve">Decisione di esecuzione della Commissione Europea </w:t>
      </w:r>
      <w:r>
        <w:t xml:space="preserve">C(</w:t>
      </w:r>
      <w:r>
        <w:t xml:space="preserve">2025)6205 final del 09 settembre 2025 con la quale è stata approvata la modifica della Decisione di esecuzione </w:t>
      </w:r>
      <w:r>
        <w:t xml:space="preserve">C(</w:t>
      </w:r>
      <w:r>
        <w:t xml:space="preserve">2024) 7098 dell'8 ottobre 2024;</w:t>
      </w:r>
      <w:r/>
    </w:p>
    <w:p>
      <w:pPr>
        <w:pStyle w:val="998"/>
        <w:pBdr/>
        <w:spacing/>
        <w:ind/>
        <w:rPr/>
        <w:sectPr>
          <w:footnotePr/>
          <w:endnotePr/>
          <w:type w:val="nextPage"/>
          <w:pgSz w:h="16840" w:orient="portrait" w:w="11910"/>
          <w:pgMar w:top="1720" w:right="992" w:bottom="880" w:left="992" w:header="735" w:footer="682" w:gutter="0"/>
          <w:cols w:num="1" w:sep="0" w:space="1701" w:equalWidth="1"/>
        </w:sectPr>
      </w:pPr>
      <w:r/>
      <w:r/>
    </w:p>
    <w:p>
      <w:pPr>
        <w:pStyle w:val="997"/>
        <w:pBdr/>
        <w:spacing w:before="45"/>
        <w:ind/>
        <w:rPr/>
      </w:pPr>
      <w:r/>
      <w:r/>
    </w:p>
    <w:p>
      <w:pPr>
        <w:pStyle w:val="998"/>
        <w:numPr>
          <w:ilvl w:val="0"/>
          <w:numId w:val="18"/>
        </w:numPr>
        <w:pBdr/>
        <w:tabs>
          <w:tab w:val="left" w:leader="none" w:pos="498"/>
          <w:tab w:val="left" w:leader="none" w:pos="501"/>
        </w:tabs>
        <w:spacing w:before="120"/>
        <w:ind w:right="139" w:hanging="360" w:left="501"/>
        <w:rPr/>
      </w:pPr>
      <w:r>
        <w:t xml:space="preserve">Deliberazione n. 133 del 30 marzo 2023. “Programma Regionale FESR Sicilia 2021/2027. Decisione della Commissione </w:t>
      </w:r>
      <w:r>
        <w:t xml:space="preserve">C(</w:t>
      </w:r>
      <w:r>
        <w:t xml:space="preserve">2022)9366 dell'8 dicembre 2022. Comitato di Sorveglianza”.</w:t>
      </w:r>
      <w:r/>
    </w:p>
    <w:p>
      <w:pPr>
        <w:pStyle w:val="998"/>
        <w:numPr>
          <w:ilvl w:val="0"/>
          <w:numId w:val="18"/>
        </w:numPr>
        <w:pBdr/>
        <w:tabs>
          <w:tab w:val="left" w:leader="none" w:pos="498"/>
          <w:tab w:val="left" w:leader="none" w:pos="501"/>
        </w:tabs>
        <w:spacing w:before="120"/>
        <w:ind w:right="140" w:hanging="360" w:left="501"/>
        <w:rPr/>
      </w:pPr>
      <w:r>
        <w:t xml:space="preserve">Deliberazione</w:t>
      </w:r>
      <w:r>
        <w:rPr>
          <w:spacing w:val="30"/>
        </w:rPr>
        <w:t xml:space="preserve"> </w:t>
      </w:r>
      <w:r>
        <w:t xml:space="preserve">n.</w:t>
      </w:r>
      <w:r>
        <w:rPr>
          <w:spacing w:val="30"/>
        </w:rPr>
        <w:t xml:space="preserve"> </w:t>
      </w:r>
      <w:r>
        <w:t xml:space="preserve">171</w:t>
      </w:r>
      <w:r>
        <w:rPr>
          <w:spacing w:val="30"/>
        </w:rPr>
        <w:t xml:space="preserve"> </w:t>
      </w:r>
      <w:r>
        <w:t xml:space="preserve">del</w:t>
      </w:r>
      <w:r>
        <w:rPr>
          <w:spacing w:val="30"/>
        </w:rPr>
        <w:t xml:space="preserve"> </w:t>
      </w:r>
      <w:r>
        <w:t xml:space="preserve">26</w:t>
      </w:r>
      <w:r>
        <w:rPr>
          <w:spacing w:val="30"/>
        </w:rPr>
        <w:t xml:space="preserve"> </w:t>
      </w:r>
      <w:r>
        <w:t xml:space="preserve">aprile</w:t>
      </w:r>
      <w:r>
        <w:rPr>
          <w:spacing w:val="30"/>
        </w:rPr>
        <w:t xml:space="preserve"> </w:t>
      </w:r>
      <w:r>
        <w:t xml:space="preserve">2023.</w:t>
      </w:r>
      <w:r>
        <w:rPr>
          <w:spacing w:val="30"/>
        </w:rPr>
        <w:t xml:space="preserve"> </w:t>
      </w:r>
      <w:r>
        <w:t xml:space="preserve">“Programma</w:t>
      </w:r>
      <w:r>
        <w:rPr>
          <w:spacing w:val="30"/>
        </w:rPr>
        <w:t xml:space="preserve"> </w:t>
      </w:r>
      <w:r>
        <w:t xml:space="preserve">Regionale</w:t>
      </w:r>
      <w:r>
        <w:rPr>
          <w:spacing w:val="30"/>
        </w:rPr>
        <w:t xml:space="preserve"> </w:t>
      </w:r>
      <w:r>
        <w:t xml:space="preserve">FESR</w:t>
      </w:r>
      <w:r>
        <w:rPr>
          <w:spacing w:val="30"/>
        </w:rPr>
        <w:t xml:space="preserve"> </w:t>
      </w:r>
      <w:r>
        <w:t xml:space="preserve">Sicilia</w:t>
      </w:r>
      <w:r>
        <w:rPr>
          <w:spacing w:val="30"/>
        </w:rPr>
        <w:t xml:space="preserve"> </w:t>
      </w:r>
      <w:r>
        <w:t xml:space="preserve">2021/2027.</w:t>
      </w:r>
      <w:r>
        <w:rPr>
          <w:spacing w:val="30"/>
        </w:rPr>
        <w:t xml:space="preserve"> </w:t>
      </w:r>
      <w:r>
        <w:t xml:space="preserve">Documento 'Metodologia e criteri di selezione delle operazioni'” e ss.mm.ii.</w:t>
      </w:r>
      <w:r>
        <w:t xml:space="preserve">; .</w:t>
      </w:r>
      <w:r/>
    </w:p>
    <w:p>
      <w:pPr>
        <w:pStyle w:val="998"/>
        <w:numPr>
          <w:ilvl w:val="0"/>
          <w:numId w:val="18"/>
        </w:numPr>
        <w:pBdr/>
        <w:tabs>
          <w:tab w:val="left" w:leader="none" w:pos="498"/>
          <w:tab w:val="left" w:leader="none" w:pos="501"/>
        </w:tabs>
        <w:spacing w:before="120"/>
        <w:ind w:right="148" w:hanging="360" w:left="501"/>
        <w:rPr/>
      </w:pPr>
      <w:r>
        <w:t xml:space="preserve">Deliberazione</w:t>
      </w:r>
      <w:r>
        <w:rPr>
          <w:spacing w:val="38"/>
        </w:rPr>
        <w:t xml:space="preserve"> </w:t>
      </w:r>
      <w:r>
        <w:t xml:space="preserve">n.</w:t>
      </w:r>
      <w:r>
        <w:rPr>
          <w:spacing w:val="38"/>
        </w:rPr>
        <w:t xml:space="preserve"> </w:t>
      </w:r>
      <w:r>
        <w:t xml:space="preserve">253</w:t>
      </w:r>
      <w:r>
        <w:rPr>
          <w:spacing w:val="38"/>
        </w:rPr>
        <w:t xml:space="preserve"> </w:t>
      </w:r>
      <w:r>
        <w:t xml:space="preserve">del</w:t>
      </w:r>
      <w:r>
        <w:rPr>
          <w:spacing w:val="38"/>
        </w:rPr>
        <w:t xml:space="preserve"> </w:t>
      </w:r>
      <w:r>
        <w:t xml:space="preserve">19</w:t>
      </w:r>
      <w:r>
        <w:rPr>
          <w:spacing w:val="38"/>
        </w:rPr>
        <w:t xml:space="preserve"> </w:t>
      </w:r>
      <w:r>
        <w:t xml:space="preserve">giugno</w:t>
      </w:r>
      <w:r>
        <w:rPr>
          <w:spacing w:val="38"/>
        </w:rPr>
        <w:t xml:space="preserve"> </w:t>
      </w:r>
      <w:r>
        <w:t xml:space="preserve">2023.</w:t>
      </w:r>
      <w:r>
        <w:rPr>
          <w:spacing w:val="38"/>
        </w:rPr>
        <w:t xml:space="preserve"> </w:t>
      </w:r>
      <w:r>
        <w:t xml:space="preserve">“Approvazione</w:t>
      </w:r>
      <w:r>
        <w:rPr>
          <w:spacing w:val="38"/>
        </w:rPr>
        <w:t xml:space="preserve"> </w:t>
      </w:r>
      <w:r>
        <w:t xml:space="preserve">disegno</w:t>
      </w:r>
      <w:r>
        <w:rPr>
          <w:spacing w:val="38"/>
        </w:rPr>
        <w:t xml:space="preserve"> </w:t>
      </w:r>
      <w:r>
        <w:t xml:space="preserve">di</w:t>
      </w:r>
      <w:r>
        <w:rPr>
          <w:spacing w:val="38"/>
        </w:rPr>
        <w:t xml:space="preserve"> </w:t>
      </w:r>
      <w:r>
        <w:t xml:space="preserve">legge:</w:t>
      </w:r>
      <w:r>
        <w:rPr>
          <w:spacing w:val="38"/>
        </w:rPr>
        <w:t xml:space="preserve"> </w:t>
      </w:r>
      <w:r>
        <w:t xml:space="preserve">Recepimento</w:t>
      </w:r>
      <w:r>
        <w:rPr>
          <w:spacing w:val="38"/>
        </w:rPr>
        <w:t xml:space="preserve"> </w:t>
      </w:r>
      <w:r>
        <w:t xml:space="preserve">del</w:t>
      </w:r>
      <w:r>
        <w:rPr>
          <w:spacing w:val="38"/>
        </w:rPr>
        <w:t xml:space="preserve"> </w:t>
      </w:r>
      <w:r>
        <w:t xml:space="preserve">nuovo codice dei contratti pubblici”</w:t>
      </w:r>
      <w:r/>
    </w:p>
    <w:p>
      <w:pPr>
        <w:pStyle w:val="998"/>
        <w:numPr>
          <w:ilvl w:val="0"/>
          <w:numId w:val="18"/>
        </w:numPr>
        <w:pBdr/>
        <w:tabs>
          <w:tab w:val="left" w:leader="none" w:pos="498"/>
        </w:tabs>
        <w:spacing/>
        <w:ind w:hanging="357" w:left="498"/>
        <w:rPr/>
      </w:pPr>
      <w:r>
        <w:t xml:space="preserve">[altri</w:t>
      </w:r>
      <w:r>
        <w:rPr>
          <w:spacing w:val="-7"/>
        </w:rPr>
        <w:t xml:space="preserve"> </w:t>
      </w:r>
      <w:r>
        <w:t xml:space="preserve">regolamenti</w:t>
      </w:r>
      <w:r>
        <w:rPr>
          <w:spacing w:val="-6"/>
        </w:rPr>
        <w:t xml:space="preserve"> </w:t>
      </w:r>
      <w:r>
        <w:rPr>
          <w:spacing w:val="-2"/>
        </w:rPr>
        <w:t xml:space="preserve">applicabili];</w:t>
      </w:r>
      <w:r/>
    </w:p>
    <w:p>
      <w:pPr>
        <w:pStyle w:val="998"/>
        <w:numPr>
          <w:ilvl w:val="0"/>
          <w:numId w:val="18"/>
        </w:numPr>
        <w:pBdr/>
        <w:tabs>
          <w:tab w:val="left" w:leader="none" w:pos="498"/>
        </w:tabs>
        <w:spacing/>
        <w:ind w:hanging="357" w:left="498"/>
        <w:rPr/>
      </w:pPr>
      <w:r>
        <w:t xml:space="preserve">Normativa</w:t>
      </w:r>
      <w:r>
        <w:rPr>
          <w:spacing w:val="-5"/>
        </w:rPr>
        <w:t xml:space="preserve"> </w:t>
      </w:r>
      <w:r>
        <w:t xml:space="preserve">di</w:t>
      </w:r>
      <w:r>
        <w:rPr>
          <w:spacing w:val="-4"/>
        </w:rPr>
        <w:t xml:space="preserve"> </w:t>
      </w:r>
      <w:r>
        <w:t xml:space="preserve">settore</w:t>
      </w:r>
      <w:r>
        <w:rPr>
          <w:spacing w:val="-4"/>
        </w:rPr>
        <w:t xml:space="preserve"> </w:t>
      </w:r>
      <w:r>
        <w:t xml:space="preserve">con</w:t>
      </w:r>
      <w:r>
        <w:rPr>
          <w:spacing w:val="-5"/>
        </w:rPr>
        <w:t xml:space="preserve"> </w:t>
      </w:r>
      <w:r>
        <w:t xml:space="preserve">riferimento</w:t>
      </w:r>
      <w:r>
        <w:rPr>
          <w:spacing w:val="-4"/>
        </w:rPr>
        <w:t xml:space="preserve"> </w:t>
      </w:r>
      <w:r>
        <w:t xml:space="preserve">all’asse</w:t>
      </w:r>
      <w:r>
        <w:rPr>
          <w:spacing w:val="-4"/>
        </w:rPr>
        <w:t xml:space="preserve"> </w:t>
      </w:r>
      <w:r>
        <w:t xml:space="preserve">e/o</w:t>
      </w:r>
      <w:r>
        <w:rPr>
          <w:spacing w:val="-4"/>
        </w:rPr>
        <w:t xml:space="preserve"> </w:t>
      </w:r>
      <w:r>
        <w:rPr>
          <w:spacing w:val="-2"/>
        </w:rPr>
        <w:t xml:space="preserve">all’azione</w:t>
      </w:r>
      <w:r/>
    </w:p>
    <w:p>
      <w:pPr>
        <w:pStyle w:val="998"/>
        <w:numPr>
          <w:ilvl w:val="0"/>
          <w:numId w:val="18"/>
        </w:numPr>
        <w:pBdr/>
        <w:tabs>
          <w:tab w:val="left" w:leader="none" w:pos="498"/>
        </w:tabs>
        <w:spacing/>
        <w:ind w:hanging="357" w:left="498"/>
        <w:rPr/>
      </w:pPr>
      <w:r>
        <w:t xml:space="preserve">Altri</w:t>
      </w:r>
      <w:r>
        <w:rPr>
          <w:spacing w:val="-4"/>
        </w:rPr>
        <w:t xml:space="preserve"> </w:t>
      </w:r>
      <w:r>
        <w:t xml:space="preserve">atti</w:t>
      </w:r>
      <w:r>
        <w:rPr>
          <w:spacing w:val="-4"/>
        </w:rPr>
        <w:t xml:space="preserve"> </w:t>
      </w:r>
      <w:r>
        <w:t xml:space="preserve">amministrativi</w:t>
      </w:r>
      <w:r>
        <w:rPr>
          <w:spacing w:val="-4"/>
        </w:rPr>
        <w:t xml:space="preserve"> </w:t>
      </w:r>
      <w:r>
        <w:t xml:space="preserve">e</w:t>
      </w:r>
      <w:r>
        <w:rPr>
          <w:spacing w:val="-4"/>
        </w:rPr>
        <w:t xml:space="preserve"> </w:t>
      </w:r>
      <w:r>
        <w:t xml:space="preserve">normativa</w:t>
      </w:r>
      <w:r>
        <w:rPr>
          <w:spacing w:val="-4"/>
        </w:rPr>
        <w:t xml:space="preserve"> </w:t>
      </w:r>
      <w:r>
        <w:rPr>
          <w:spacing w:val="-2"/>
        </w:rPr>
        <w:t xml:space="preserve">regionale</w:t>
      </w:r>
      <w:r/>
    </w:p>
    <w:p>
      <w:pPr>
        <w:pStyle w:val="998"/>
        <w:numPr>
          <w:ilvl w:val="0"/>
          <w:numId w:val="18"/>
        </w:numPr>
        <w:pBdr/>
        <w:tabs>
          <w:tab w:val="left" w:leader="none" w:pos="498"/>
          <w:tab w:val="left" w:leader="none" w:pos="501"/>
          <w:tab w:val="left" w:leader="none" w:pos="3509"/>
          <w:tab w:val="left" w:leader="none" w:pos="3659"/>
          <w:tab w:val="left" w:leader="none" w:pos="5010"/>
        </w:tabs>
        <w:spacing/>
        <w:ind w:right="144" w:hanging="360" w:left="501"/>
        <w:rPr/>
      </w:pPr>
      <w:r>
        <w:t xml:space="preserve">la</w:t>
      </w:r>
      <w:r>
        <w:rPr>
          <w:spacing w:val="40"/>
        </w:rPr>
        <w:t xml:space="preserve"> </w:t>
      </w:r>
      <w:r>
        <w:t xml:space="preserve">Legge</w:t>
      </w:r>
      <w:r>
        <w:rPr>
          <w:spacing w:val="40"/>
        </w:rPr>
        <w:t xml:space="preserve"> </w:t>
      </w:r>
      <w:r>
        <w:t xml:space="preserve">Regione</w:t>
      </w:r>
      <w:r>
        <w:rPr>
          <w:spacing w:val="40"/>
        </w:rPr>
        <w:t xml:space="preserve"> </w:t>
      </w:r>
      <w:r>
        <w:t xml:space="preserve">Siciliana</w:t>
      </w:r>
      <w:r>
        <w:rPr>
          <w:spacing w:val="40"/>
        </w:rPr>
        <w:t xml:space="preserve"> </w:t>
      </w:r>
      <w:r>
        <w:t xml:space="preserve">n.</w:t>
      </w:r>
      <w:r>
        <w:rPr>
          <w:spacing w:val="39"/>
        </w:rPr>
        <w:t xml:space="preserve"> </w:t>
      </w:r>
      <w:r>
        <w:rPr>
          <w:rFonts w:ascii="Times New Roman" w:hAnsi="Times New Roman"/>
          <w:u w:val="single"/>
        </w:rPr>
        <w:tab/>
      </w:r>
      <w:r>
        <w:rPr>
          <w:rFonts w:ascii="Times New Roman" w:hAnsi="Times New Roman"/>
        </w:rPr>
        <w:t xml:space="preserve"> </w:t>
      </w:r>
      <w:r>
        <w:t xml:space="preserve">del</w:t>
      </w:r>
      <w:r>
        <w:rPr>
          <w:spacing w:val="39"/>
        </w:rPr>
        <w:t xml:space="preserve"> </w:t>
      </w:r>
      <w:r>
        <w:rPr>
          <w:rFonts w:ascii="Times New Roman" w:hAnsi="Times New Roman"/>
          <w:spacing w:val="80"/>
          <w:u w:val="single"/>
        </w:rPr>
        <w:t xml:space="preserve"> </w:t>
      </w:r>
      <w:r>
        <w:t xml:space="preserve">/</w:t>
      </w:r>
      <w:r>
        <w:rPr>
          <w:rFonts w:ascii="Times New Roman" w:hAnsi="Times New Roman"/>
          <w:spacing w:val="80"/>
          <w:u w:val="single"/>
        </w:rPr>
        <w:t xml:space="preserve"> </w:t>
      </w:r>
      <w:r>
        <w:t xml:space="preserve">/</w:t>
      </w:r>
      <w:r>
        <w:rPr>
          <w:rFonts w:ascii="Times New Roman" w:hAnsi="Times New Roman"/>
          <w:u w:val="single"/>
        </w:rPr>
        <w:tab/>
      </w:r>
      <w:r>
        <w:rPr>
          <w:rFonts w:ascii="Times New Roman" w:hAnsi="Times New Roman"/>
          <w:spacing w:val="-16"/>
        </w:rPr>
        <w:t xml:space="preserve"> </w:t>
      </w:r>
      <w:r>
        <w:t xml:space="preserve">che</w:t>
      </w:r>
      <w:r>
        <w:rPr>
          <w:spacing w:val="33"/>
        </w:rPr>
        <w:t xml:space="preserve"> </w:t>
      </w:r>
      <w:r>
        <w:t xml:space="preserve">approva</w:t>
      </w:r>
      <w:r>
        <w:rPr>
          <w:spacing w:val="35"/>
        </w:rPr>
        <w:t xml:space="preserve"> </w:t>
      </w:r>
      <w:r>
        <w:t xml:space="preserve">il</w:t>
      </w:r>
      <w:r>
        <w:rPr>
          <w:spacing w:val="35"/>
        </w:rPr>
        <w:t xml:space="preserve"> </w:t>
      </w:r>
      <w:r>
        <w:t xml:space="preserve">bilancio</w:t>
      </w:r>
      <w:r>
        <w:rPr>
          <w:spacing w:val="35"/>
        </w:rPr>
        <w:t xml:space="preserve"> </w:t>
      </w:r>
      <w:r>
        <w:t xml:space="preserve">di</w:t>
      </w:r>
      <w:r>
        <w:rPr>
          <w:spacing w:val="35"/>
        </w:rPr>
        <w:t xml:space="preserve"> </w:t>
      </w:r>
      <w:r>
        <w:t xml:space="preserve">previsione</w:t>
      </w:r>
      <w:r>
        <w:rPr>
          <w:spacing w:val="35"/>
        </w:rPr>
        <w:t xml:space="preserve"> </w:t>
      </w:r>
      <w:r>
        <w:t xml:space="preserve">della</w:t>
      </w:r>
      <w:r>
        <w:rPr>
          <w:spacing w:val="35"/>
        </w:rPr>
        <w:t xml:space="preserve"> </w:t>
      </w:r>
      <w:r>
        <w:t xml:space="preserve">Regione Siciliana per l’anno finanziario </w:t>
      </w:r>
      <w:r>
        <w:rPr>
          <w:rFonts w:ascii="Times New Roman" w:hAnsi="Times New Roman"/>
          <w:u w:val="single"/>
        </w:rPr>
        <w:tab/>
      </w:r>
      <w:r>
        <w:rPr>
          <w:rFonts w:ascii="Times New Roman" w:hAnsi="Times New Roman"/>
          <w:u w:val="single"/>
        </w:rPr>
        <w:tab/>
      </w:r>
      <w:r>
        <w:rPr>
          <w:spacing w:val="-10"/>
        </w:rPr>
        <w:t xml:space="preserve">;</w:t>
      </w:r>
      <w:r/>
    </w:p>
    <w:p>
      <w:pPr>
        <w:pStyle w:val="998"/>
        <w:numPr>
          <w:ilvl w:val="0"/>
          <w:numId w:val="18"/>
        </w:numPr>
        <w:pBdr/>
        <w:tabs>
          <w:tab w:val="left" w:leader="none" w:pos="498"/>
          <w:tab w:val="left" w:leader="none" w:pos="5003"/>
          <w:tab w:val="left" w:leader="none" w:pos="6513"/>
          <w:tab w:val="left" w:leader="none" w:pos="9453"/>
        </w:tabs>
        <w:spacing/>
        <w:ind w:hanging="357" w:left="498"/>
        <w:rPr/>
      </w:pPr>
      <w:r>
        <w:t xml:space="preserve">l’Avviso</w:t>
      </w:r>
      <w:r>
        <w:rPr>
          <w:spacing w:val="40"/>
        </w:rPr>
        <w:t xml:space="preserve"> </w:t>
      </w:r>
      <w:r>
        <w:t xml:space="preserve">pubblico</w:t>
      </w:r>
      <w:r>
        <w:rPr>
          <w:spacing w:val="40"/>
        </w:rPr>
        <w:t xml:space="preserve"> </w:t>
      </w:r>
      <w:r>
        <w:t xml:space="preserve">approvato</w:t>
      </w:r>
      <w:r>
        <w:rPr>
          <w:spacing w:val="40"/>
        </w:rPr>
        <w:t xml:space="preserve"> </w:t>
      </w:r>
      <w:r>
        <w:t xml:space="preserve">con</w:t>
      </w:r>
      <w:r>
        <w:rPr>
          <w:spacing w:val="40"/>
        </w:rPr>
        <w:t xml:space="preserve"> </w:t>
      </w:r>
      <w:r>
        <w:t xml:space="preserve">D.D.G.</w:t>
      </w:r>
      <w:r>
        <w:rPr>
          <w:spacing w:val="40"/>
        </w:rPr>
        <w:t xml:space="preserve"> </w:t>
      </w:r>
      <w:r>
        <w:t xml:space="preserve">n.</w:t>
      </w:r>
      <w:r>
        <w:rPr>
          <w:spacing w:val="43"/>
        </w:rPr>
        <w:t xml:space="preserve"> </w:t>
      </w:r>
      <w:r>
        <w:rPr>
          <w:rFonts w:ascii="Times New Roman" w:hAnsi="Times New Roman"/>
          <w:u w:val="single"/>
        </w:rPr>
        <w:tab/>
      </w:r>
      <w:r>
        <w:rPr>
          <w:rFonts w:ascii="Times New Roman" w:hAnsi="Times New Roman"/>
          <w:spacing w:val="-11"/>
        </w:rPr>
        <w:t xml:space="preserve"> </w:t>
      </w:r>
      <w:r>
        <w:t xml:space="preserve">del</w:t>
      </w:r>
      <w:r>
        <w:rPr>
          <w:spacing w:val="43"/>
        </w:rPr>
        <w:t xml:space="preserve"> </w:t>
      </w:r>
      <w:r>
        <w:rPr>
          <w:rFonts w:ascii="Times New Roman" w:hAnsi="Times New Roman"/>
          <w:spacing w:val="54"/>
          <w:u w:val="single"/>
        </w:rPr>
        <w:t xml:space="preserve">  </w:t>
      </w:r>
      <w:r>
        <w:t xml:space="preserve">/</w:t>
      </w:r>
      <w:r>
        <w:rPr>
          <w:rFonts w:ascii="Times New Roman" w:hAnsi="Times New Roman"/>
          <w:spacing w:val="54"/>
          <w:u w:val="single"/>
        </w:rPr>
        <w:t xml:space="preserve">  </w:t>
      </w:r>
      <w:r>
        <w:t xml:space="preserve">/</w:t>
      </w:r>
      <w:r>
        <w:rPr>
          <w:rFonts w:ascii="Times New Roman" w:hAnsi="Times New Roman"/>
          <w:u w:val="single"/>
        </w:rPr>
        <w:tab/>
      </w:r>
      <w:r>
        <w:rPr>
          <w:rFonts w:ascii="Times New Roman" w:hAnsi="Times New Roman"/>
          <w:spacing w:val="-3"/>
        </w:rPr>
        <w:t xml:space="preserve"> </w:t>
      </w:r>
      <w:r>
        <w:t xml:space="preserve">pubblicato</w:t>
      </w:r>
      <w:r>
        <w:rPr>
          <w:spacing w:val="40"/>
        </w:rPr>
        <w:t xml:space="preserve"> </w:t>
      </w:r>
      <w:r>
        <w:t xml:space="preserve">sulla</w:t>
      </w:r>
      <w:r>
        <w:rPr>
          <w:spacing w:val="40"/>
        </w:rPr>
        <w:t xml:space="preserve"> </w:t>
      </w:r>
      <w:r>
        <w:t xml:space="preserve">G.U.R.S.</w:t>
      </w:r>
      <w:r>
        <w:rPr>
          <w:spacing w:val="40"/>
        </w:rPr>
        <w:t xml:space="preserve"> </w:t>
      </w:r>
      <w:r>
        <w:t xml:space="preserve">n.</w:t>
      </w:r>
      <w:r>
        <w:rPr>
          <w:spacing w:val="43"/>
        </w:rPr>
        <w:t xml:space="preserve"> </w:t>
      </w:r>
      <w:r>
        <w:rPr>
          <w:rFonts w:ascii="Times New Roman" w:hAnsi="Times New Roman"/>
          <w:u w:val="single"/>
        </w:rPr>
        <w:tab/>
      </w:r>
      <w:r>
        <w:rPr>
          <w:rFonts w:ascii="Times New Roman" w:hAnsi="Times New Roman"/>
          <w:spacing w:val="-8"/>
        </w:rPr>
        <w:t xml:space="preserve"> </w:t>
      </w:r>
      <w:r>
        <w:t xml:space="preserve">del</w:t>
      </w:r>
      <w:r/>
    </w:p>
    <w:p>
      <w:pPr>
        <w:pStyle w:val="997"/>
        <w:pBdr/>
        <w:spacing/>
        <w:ind w:right="143" w:left="501"/>
        <w:jc w:val="both"/>
        <w:rPr/>
      </w:pPr>
      <w:r>
        <w:rPr>
          <w:rFonts w:ascii="Times New Roman" w:hAnsi="Times New Roman"/>
          <w:spacing w:val="80"/>
          <w:u w:val="single"/>
        </w:rPr>
        <w:t xml:space="preserve"> </w:t>
      </w:r>
      <w:r>
        <w:t xml:space="preserve">/</w:t>
      </w:r>
      <w:r>
        <w:rPr>
          <w:rFonts w:ascii="Times New Roman" w:hAnsi="Times New Roman"/>
          <w:spacing w:val="80"/>
          <w:u w:val="single"/>
        </w:rPr>
        <w:t xml:space="preserve"> </w:t>
      </w:r>
      <w:r>
        <w:t xml:space="preserve">/</w:t>
      </w:r>
      <w:r>
        <w:rPr>
          <w:rFonts w:ascii="Times New Roman" w:hAnsi="Times New Roman"/>
          <w:spacing w:val="80"/>
          <w:u w:val="single"/>
        </w:rPr>
        <w:t xml:space="preserve">   </w:t>
      </w:r>
      <w:r>
        <w:rPr>
          <w:rFonts w:ascii="Times New Roman" w:hAnsi="Times New Roman"/>
          <w:spacing w:val="-14"/>
        </w:rPr>
        <w:t xml:space="preserve"> </w:t>
      </w:r>
      <w:r>
        <w:t xml:space="preserve">e</w:t>
      </w:r>
      <w:r>
        <w:rPr>
          <w:spacing w:val="29"/>
        </w:rPr>
        <w:t xml:space="preserve"> </w:t>
      </w:r>
      <w:r>
        <w:t xml:space="preserve">sul</w:t>
      </w:r>
      <w:r>
        <w:rPr>
          <w:spacing w:val="30"/>
        </w:rPr>
        <w:t xml:space="preserve"> </w:t>
      </w:r>
      <w:r>
        <w:rPr>
          <w:b/>
        </w:rPr>
        <w:t xml:space="preserve">portale</w:t>
      </w:r>
      <w:r>
        <w:rPr>
          <w:b/>
          <w:spacing w:val="29"/>
        </w:rPr>
        <w:t xml:space="preserve"> </w:t>
      </w:r>
      <w:r>
        <w:rPr>
          <w:b/>
        </w:rPr>
        <w:t xml:space="preserve">unico</w:t>
      </w:r>
      <w:r>
        <w:rPr>
          <w:b/>
          <w:spacing w:val="29"/>
        </w:rPr>
        <w:t xml:space="preserve"> </w:t>
      </w:r>
      <w:r>
        <w:rPr>
          <w:b/>
        </w:rPr>
        <w:t xml:space="preserve">web</w:t>
      </w:r>
      <w:r>
        <w:rPr>
          <w:b/>
          <w:spacing w:val="31"/>
        </w:rPr>
        <w:t xml:space="preserve"> </w:t>
      </w:r>
      <w:r>
        <w:t xml:space="preserve">(nelle</w:t>
      </w:r>
      <w:r>
        <w:rPr>
          <w:spacing w:val="29"/>
        </w:rPr>
        <w:t xml:space="preserve"> </w:t>
      </w:r>
      <w:r>
        <w:t xml:space="preserve">more</w:t>
      </w:r>
      <w:r>
        <w:rPr>
          <w:spacing w:val="29"/>
        </w:rPr>
        <w:t xml:space="preserve"> </w:t>
      </w:r>
      <w:r>
        <w:t xml:space="preserve">dell’operatività</w:t>
      </w:r>
      <w:r>
        <w:rPr>
          <w:spacing w:val="29"/>
        </w:rPr>
        <w:t xml:space="preserve"> </w:t>
      </w:r>
      <w:r>
        <w:t xml:space="preserve">di</w:t>
      </w:r>
      <w:r>
        <w:rPr>
          <w:spacing w:val="29"/>
        </w:rPr>
        <w:t xml:space="preserve"> </w:t>
      </w:r>
      <w:r>
        <w:t xml:space="preserve">tale</w:t>
      </w:r>
      <w:r>
        <w:rPr>
          <w:spacing w:val="29"/>
        </w:rPr>
        <w:t xml:space="preserve"> </w:t>
      </w:r>
      <w:r>
        <w:t xml:space="preserve">portale</w:t>
      </w:r>
      <w:r>
        <w:rPr>
          <w:spacing w:val="29"/>
        </w:rPr>
        <w:t xml:space="preserve"> </w:t>
      </w:r>
      <w:r>
        <w:t xml:space="preserve">saranno</w:t>
      </w:r>
      <w:r>
        <w:rPr>
          <w:spacing w:val="29"/>
        </w:rPr>
        <w:t xml:space="preserve"> </w:t>
      </w:r>
      <w:r>
        <w:t xml:space="preserve">utilizzate</w:t>
      </w:r>
      <w:r>
        <w:rPr>
          <w:spacing w:val="29"/>
        </w:rPr>
        <w:t xml:space="preserve"> </w:t>
      </w:r>
      <w:r>
        <w:t xml:space="preserve">le attuali modalità di pubblicazione sul sito </w:t>
      </w:r>
      <w:hyperlink r:id="rId12" w:tooltip="http://www.euroinfosicilia.it/" w:history="1">
        <w:r>
          <w:rPr>
            <w:color w:val="0563c0"/>
            <w:u w:val="single"/>
          </w:rPr>
          <w:t xml:space="preserve">www.euroinfosicilia.it</w:t>
        </w:r>
      </w:hyperlink>
      <w:r>
        <w:rPr>
          <w:color w:val="0563c0"/>
          <w:u w:val="single"/>
        </w:rPr>
        <w:t xml:space="preserve">) </w:t>
      </w:r>
      <w:r>
        <w:rPr>
          <w:color w:val="0563c0"/>
        </w:rPr>
        <w:t xml:space="preserve"> </w:t>
      </w:r>
      <w:r>
        <w:t xml:space="preserve">e sul sito istituzionale di questo Dipartimento competente (di seguito l’Avviso);</w:t>
      </w:r>
      <w:r/>
    </w:p>
    <w:p>
      <w:pPr>
        <w:pStyle w:val="998"/>
        <w:numPr>
          <w:ilvl w:val="0"/>
          <w:numId w:val="18"/>
        </w:numPr>
        <w:pBdr/>
        <w:tabs>
          <w:tab w:val="left" w:leader="none" w:pos="498"/>
          <w:tab w:val="left" w:leader="none" w:pos="2424"/>
        </w:tabs>
        <w:spacing/>
        <w:ind w:hanging="357" w:left="498"/>
        <w:rPr/>
      </w:pPr>
      <w:r>
        <w:t xml:space="preserve">il D.D.G. n. </w:t>
      </w:r>
      <w:r>
        <w:rPr>
          <w:rFonts w:ascii="Times New Roman" w:hAnsi="Times New Roman"/>
          <w:u w:val="single"/>
        </w:rPr>
        <w:tab/>
      </w:r>
      <w:r>
        <w:t xml:space="preserve">che</w:t>
      </w:r>
      <w:r>
        <w:rPr>
          <w:spacing w:val="-6"/>
        </w:rPr>
        <w:t xml:space="preserve"> </w:t>
      </w:r>
      <w:r>
        <w:t xml:space="preserve">….</w:t>
      </w:r>
      <w:r>
        <w:t xml:space="preserve">(per</w:t>
      </w:r>
      <w:r>
        <w:rPr>
          <w:spacing w:val="-5"/>
        </w:rPr>
        <w:t xml:space="preserve"> </w:t>
      </w:r>
      <w:r>
        <w:t xml:space="preserve">eventuali</w:t>
      </w:r>
      <w:r>
        <w:rPr>
          <w:spacing w:val="-6"/>
        </w:rPr>
        <w:t xml:space="preserve"> </w:t>
      </w:r>
      <w:r>
        <w:t xml:space="preserve">modifiche</w:t>
      </w:r>
      <w:r>
        <w:rPr>
          <w:spacing w:val="-5"/>
        </w:rPr>
        <w:t xml:space="preserve"> </w:t>
      </w:r>
      <w:r>
        <w:rPr>
          <w:spacing w:val="-2"/>
        </w:rPr>
        <w:t xml:space="preserve">dell’avviso)</w:t>
      </w:r>
      <w:r/>
    </w:p>
    <w:p>
      <w:pPr>
        <w:pStyle w:val="998"/>
        <w:numPr>
          <w:ilvl w:val="0"/>
          <w:numId w:val="18"/>
        </w:numPr>
        <w:pBdr/>
        <w:tabs>
          <w:tab w:val="left" w:leader="none" w:pos="499"/>
          <w:tab w:val="left" w:leader="none" w:pos="502"/>
          <w:tab w:val="left" w:leader="none" w:pos="1789"/>
          <w:tab w:val="left" w:leader="none" w:pos="3224"/>
          <w:tab w:val="left" w:leader="none" w:pos="7945"/>
        </w:tabs>
        <w:spacing/>
        <w:ind w:right="147" w:hanging="360"/>
        <w:rPr/>
      </w:pPr>
      <w:r>
        <w:t xml:space="preserve">il D.D.G. n. </w:t>
      </w:r>
      <w:r>
        <w:rPr>
          <w:rFonts w:ascii="Times New Roman" w:hAnsi="Times New Roman"/>
          <w:u w:val="single"/>
        </w:rPr>
        <w:tab/>
      </w:r>
      <w:r>
        <w:t xml:space="preserve">del </w:t>
      </w:r>
      <w:r>
        <w:rPr>
          <w:rFonts w:ascii="Times New Roman" w:hAnsi="Times New Roman"/>
          <w:spacing w:val="80"/>
          <w:u w:val="single"/>
        </w:rPr>
        <w:t xml:space="preserve"> </w:t>
      </w:r>
      <w:r>
        <w:t xml:space="preserve">/</w:t>
      </w:r>
      <w:r>
        <w:rPr>
          <w:rFonts w:ascii="Times New Roman" w:hAnsi="Times New Roman"/>
          <w:spacing w:val="80"/>
          <w:u w:val="single"/>
        </w:rPr>
        <w:t xml:space="preserve"> </w:t>
      </w:r>
      <w:r>
        <w:t xml:space="preserve">/</w:t>
      </w:r>
      <w:r>
        <w:rPr>
          <w:rFonts w:ascii="Times New Roman" w:hAnsi="Times New Roman"/>
          <w:u w:val="single"/>
        </w:rPr>
        <w:tab/>
      </w:r>
      <w:r>
        <w:t xml:space="preserve">con il quale è stato approvato, ai sensi del punto </w:t>
      </w:r>
      <w:r>
        <w:rPr>
          <w:rFonts w:ascii="Times New Roman" w:hAnsi="Times New Roman"/>
          <w:u w:val="single"/>
        </w:rPr>
        <w:tab/>
      </w:r>
      <w:r>
        <w:t xml:space="preserve">dell’avviso</w:t>
      </w:r>
      <w:r>
        <w:rPr>
          <w:spacing w:val="-13"/>
        </w:rPr>
        <w:t xml:space="preserve"> </w:t>
      </w:r>
      <w:r>
        <w:t xml:space="preserve">pubblico, l’elenco dettagliato delle istanze con riportato le domande ammissibili, le irricevibili e le inammissibili;</w:t>
      </w:r>
      <w:r/>
    </w:p>
    <w:p>
      <w:pPr>
        <w:pStyle w:val="998"/>
        <w:numPr>
          <w:ilvl w:val="0"/>
          <w:numId w:val="18"/>
        </w:numPr>
        <w:pBdr/>
        <w:tabs>
          <w:tab w:val="left" w:leader="none" w:pos="498"/>
          <w:tab w:val="left" w:leader="none" w:pos="1600"/>
          <w:tab w:val="left" w:leader="none" w:pos="3021"/>
          <w:tab w:val="left" w:leader="none" w:pos="8760"/>
        </w:tabs>
        <w:spacing/>
        <w:ind w:hanging="357" w:left="498"/>
        <w:rPr/>
      </w:pPr>
      <w:r>
        <w:t xml:space="preserve">il DDG n. </w:t>
      </w:r>
      <w:r>
        <w:rPr>
          <w:rFonts w:ascii="Times New Roman" w:hAnsi="Times New Roman"/>
          <w:u w:val="single"/>
        </w:rPr>
        <w:tab/>
      </w:r>
      <w:r>
        <w:t xml:space="preserve">del</w:t>
      </w:r>
      <w:r>
        <w:rPr>
          <w:spacing w:val="-1"/>
        </w:rPr>
        <w:t xml:space="preserve"> </w:t>
      </w:r>
      <w:r>
        <w:rPr>
          <w:rFonts w:ascii="Times New Roman" w:hAnsi="Times New Roman"/>
          <w:spacing w:val="54"/>
          <w:u w:val="single"/>
        </w:rPr>
        <w:t xml:space="preserve">  </w:t>
      </w:r>
      <w:r>
        <w:t xml:space="preserve">/</w:t>
      </w:r>
      <w:r>
        <w:rPr>
          <w:rFonts w:ascii="Times New Roman" w:hAnsi="Times New Roman"/>
          <w:spacing w:val="54"/>
          <w:u w:val="single"/>
        </w:rPr>
        <w:t xml:space="preserve">  </w:t>
      </w:r>
      <w:r>
        <w:rPr>
          <w:spacing w:val="-10"/>
        </w:rPr>
        <w:t xml:space="preserve">/</w:t>
      </w:r>
      <w:r>
        <w:rPr>
          <w:rFonts w:ascii="Times New Roman" w:hAnsi="Times New Roman"/>
          <w:u w:val="single"/>
        </w:rPr>
        <w:tab/>
      </w:r>
      <w:r>
        <w:t xml:space="preserve">che</w:t>
      </w:r>
      <w:r>
        <w:rPr>
          <w:spacing w:val="-3"/>
        </w:rPr>
        <w:t xml:space="preserve"> </w:t>
      </w:r>
      <w:r>
        <w:t xml:space="preserve">ha</w:t>
      </w:r>
      <w:r>
        <w:rPr>
          <w:spacing w:val="-3"/>
        </w:rPr>
        <w:t xml:space="preserve"> </w:t>
      </w:r>
      <w:r>
        <w:t xml:space="preserve">nominato</w:t>
      </w:r>
      <w:r>
        <w:rPr>
          <w:spacing w:val="-3"/>
        </w:rPr>
        <w:t xml:space="preserve"> </w:t>
      </w:r>
      <w:r>
        <w:t xml:space="preserve">la</w:t>
      </w:r>
      <w:r>
        <w:rPr>
          <w:spacing w:val="-3"/>
        </w:rPr>
        <w:t xml:space="preserve"> </w:t>
      </w:r>
      <w:r>
        <w:t xml:space="preserve">Commissione</w:t>
      </w:r>
      <w:r>
        <w:rPr>
          <w:spacing w:val="-3"/>
        </w:rPr>
        <w:t xml:space="preserve"> </w:t>
      </w:r>
      <w:r>
        <w:t xml:space="preserve">di</w:t>
      </w:r>
      <w:r>
        <w:rPr>
          <w:spacing w:val="-3"/>
        </w:rPr>
        <w:t xml:space="preserve"> </w:t>
      </w:r>
      <w:r>
        <w:t xml:space="preserve">Valutazione</w:t>
      </w:r>
      <w:r>
        <w:rPr>
          <w:spacing w:val="-3"/>
        </w:rPr>
        <w:t xml:space="preserve"> </w:t>
      </w:r>
      <w:r>
        <w:t xml:space="preserve">per</w:t>
      </w:r>
      <w:r>
        <w:rPr>
          <w:spacing w:val="-3"/>
        </w:rPr>
        <w:t xml:space="preserve"> </w:t>
      </w:r>
      <w:r>
        <w:t xml:space="preserve">l’Avviso</w:t>
      </w:r>
      <w:r>
        <w:rPr>
          <w:spacing w:val="-3"/>
        </w:rPr>
        <w:t xml:space="preserve"> </w:t>
      </w:r>
      <w:r>
        <w:rPr>
          <w:rFonts w:ascii="Times New Roman" w:hAnsi="Times New Roman"/>
          <w:u w:val="single"/>
        </w:rPr>
        <w:tab/>
      </w:r>
      <w:r>
        <w:rPr>
          <w:spacing w:val="-10"/>
        </w:rPr>
        <w:t xml:space="preserve">;</w:t>
      </w:r>
      <w:r/>
    </w:p>
    <w:p>
      <w:pPr>
        <w:pStyle w:val="998"/>
        <w:numPr>
          <w:ilvl w:val="0"/>
          <w:numId w:val="18"/>
        </w:numPr>
        <w:pBdr/>
        <w:tabs>
          <w:tab w:val="left" w:leader="none" w:pos="498"/>
          <w:tab w:val="left" w:leader="none" w:pos="4370"/>
          <w:tab w:val="left" w:leader="none" w:pos="6189"/>
        </w:tabs>
        <w:spacing/>
        <w:ind w:hanging="357" w:left="498"/>
        <w:rPr/>
      </w:pPr>
      <w:r>
        <w:t xml:space="preserve">i</w:t>
      </w:r>
      <w:r>
        <w:rPr>
          <w:spacing w:val="-2"/>
        </w:rPr>
        <w:t xml:space="preserve"> </w:t>
      </w:r>
      <w:r>
        <w:t xml:space="preserve">verbali</w:t>
      </w:r>
      <w:r>
        <w:rPr>
          <w:spacing w:val="-2"/>
        </w:rPr>
        <w:t xml:space="preserve"> </w:t>
      </w:r>
      <w:r>
        <w:t xml:space="preserve">di</w:t>
      </w:r>
      <w:r>
        <w:rPr>
          <w:spacing w:val="-2"/>
        </w:rPr>
        <w:t xml:space="preserve"> </w:t>
      </w:r>
      <w:r>
        <w:t xml:space="preserve">della</w:t>
      </w:r>
      <w:r>
        <w:rPr>
          <w:spacing w:val="-2"/>
        </w:rPr>
        <w:t xml:space="preserve"> </w:t>
      </w:r>
      <w:r>
        <w:t xml:space="preserve">Commissione</w:t>
      </w:r>
      <w:r>
        <w:rPr>
          <w:spacing w:val="-2"/>
        </w:rPr>
        <w:t xml:space="preserve"> </w:t>
      </w:r>
      <w:r>
        <w:t xml:space="preserve">trasmessi</w:t>
      </w:r>
      <w:r>
        <w:rPr>
          <w:spacing w:val="-2"/>
        </w:rPr>
        <w:t xml:space="preserve"> </w:t>
      </w:r>
      <w:r>
        <w:rPr>
          <w:rFonts w:ascii="Times New Roman"/>
          <w:u w:val="single"/>
        </w:rPr>
        <w:tab/>
      </w:r>
      <w:r>
        <w:t xml:space="preserve">in</w:t>
      </w:r>
      <w:r>
        <w:rPr>
          <w:spacing w:val="-1"/>
        </w:rPr>
        <w:t xml:space="preserve"> </w:t>
      </w:r>
      <w:r>
        <w:t xml:space="preserve">data </w:t>
      </w:r>
      <w:r>
        <w:rPr>
          <w:rFonts w:ascii="Times New Roman"/>
          <w:spacing w:val="53"/>
          <w:u w:val="single"/>
        </w:rPr>
        <w:t xml:space="preserve">  </w:t>
      </w:r>
      <w:r>
        <w:t xml:space="preserve">/</w:t>
      </w:r>
      <w:r>
        <w:rPr>
          <w:rFonts w:ascii="Times New Roman"/>
          <w:spacing w:val="53"/>
          <w:u w:val="single"/>
        </w:rPr>
        <w:t xml:space="preserve">  </w:t>
      </w:r>
      <w:r>
        <w:rPr>
          <w:spacing w:val="-10"/>
        </w:rPr>
        <w:t xml:space="preserve">/</w:t>
      </w:r>
      <w:r>
        <w:rPr>
          <w:rFonts w:ascii="Times New Roman"/>
          <w:u w:val="single"/>
        </w:rPr>
        <w:tab/>
      </w:r>
      <w:r>
        <w:rPr>
          <w:spacing w:val="-10"/>
        </w:rPr>
        <w:t xml:space="preserve">;</w:t>
      </w:r>
      <w:r/>
    </w:p>
    <w:p>
      <w:pPr>
        <w:pStyle w:val="998"/>
        <w:numPr>
          <w:ilvl w:val="0"/>
          <w:numId w:val="18"/>
        </w:numPr>
        <w:pBdr/>
        <w:tabs>
          <w:tab w:val="left" w:leader="none" w:pos="499"/>
          <w:tab w:val="left" w:leader="none" w:pos="502"/>
          <w:tab w:val="left" w:leader="none" w:pos="3790"/>
          <w:tab w:val="left" w:leader="none" w:pos="4443"/>
        </w:tabs>
        <w:spacing/>
        <w:ind w:right="148" w:hanging="360"/>
        <w:rPr/>
      </w:pPr>
      <w:r>
        <w:t xml:space="preserve">il</w:t>
      </w:r>
      <w:r>
        <w:rPr>
          <w:spacing w:val="40"/>
        </w:rPr>
        <w:t xml:space="preserve"> </w:t>
      </w:r>
      <w:r>
        <w:t xml:space="preserve">decreto</w:t>
      </w:r>
      <w:r>
        <w:rPr>
          <w:spacing w:val="40"/>
        </w:rPr>
        <w:t xml:space="preserve"> </w:t>
      </w:r>
      <w:r>
        <w:t xml:space="preserve">di</w:t>
      </w:r>
      <w:r>
        <w:rPr>
          <w:spacing w:val="40"/>
        </w:rPr>
        <w:t xml:space="preserve"> </w:t>
      </w:r>
      <w:r>
        <w:t xml:space="preserve">approvazione</w:t>
      </w:r>
      <w:r>
        <w:rPr>
          <w:spacing w:val="40"/>
        </w:rPr>
        <w:t xml:space="preserve"> </w:t>
      </w:r>
      <w:r>
        <w:t xml:space="preserve">della</w:t>
      </w:r>
      <w:r>
        <w:rPr>
          <w:spacing w:val="40"/>
        </w:rPr>
        <w:t xml:space="preserve"> </w:t>
      </w:r>
      <w:r>
        <w:t xml:space="preserve">graduatoria</w:t>
      </w:r>
      <w:r>
        <w:rPr>
          <w:spacing w:val="40"/>
        </w:rPr>
        <w:t xml:space="preserve"> </w:t>
      </w:r>
      <w:r>
        <w:t xml:space="preserve">dei</w:t>
      </w:r>
      <w:r>
        <w:rPr>
          <w:spacing w:val="40"/>
        </w:rPr>
        <w:t xml:space="preserve"> </w:t>
      </w:r>
      <w:r>
        <w:t xml:space="preserve">progetti</w:t>
      </w:r>
      <w:r>
        <w:rPr>
          <w:spacing w:val="40"/>
        </w:rPr>
        <w:t xml:space="preserve"> </w:t>
      </w:r>
      <w:r>
        <w:t xml:space="preserve">ammessi</w:t>
      </w:r>
      <w:r>
        <w:rPr>
          <w:spacing w:val="40"/>
        </w:rPr>
        <w:t xml:space="preserve"> </w:t>
      </w:r>
      <w:r>
        <w:t xml:space="preserve">al</w:t>
      </w:r>
      <w:r>
        <w:rPr>
          <w:spacing w:val="40"/>
        </w:rPr>
        <w:t xml:space="preserve"> </w:t>
      </w:r>
      <w:r>
        <w:t xml:space="preserve">contributo</w:t>
      </w:r>
      <w:r>
        <w:rPr>
          <w:spacing w:val="40"/>
        </w:rPr>
        <w:t xml:space="preserve"> </w:t>
      </w:r>
      <w:r>
        <w:t xml:space="preserve">di</w:t>
      </w:r>
      <w:r>
        <w:rPr>
          <w:spacing w:val="40"/>
        </w:rPr>
        <w:t xml:space="preserve"> </w:t>
      </w:r>
      <w:r>
        <w:t xml:space="preserve">cui</w:t>
      </w:r>
      <w:r>
        <w:rPr>
          <w:spacing w:val="40"/>
        </w:rPr>
        <w:t xml:space="preserve"> </w:t>
      </w:r>
      <w:r>
        <w:t xml:space="preserve">al</w:t>
      </w:r>
      <w:r>
        <w:rPr>
          <w:spacing w:val="40"/>
        </w:rPr>
        <w:t xml:space="preserve"> </w:t>
      </w:r>
      <w:r>
        <w:t xml:space="preserve">predetto Avviso, pubblicato sulla GURS n. </w:t>
      </w:r>
      <w:r>
        <w:rPr>
          <w:rFonts w:ascii="Times New Roman"/>
          <w:u w:val="single"/>
        </w:rPr>
        <w:tab/>
      </w:r>
      <w:r>
        <w:t xml:space="preserve">del </w:t>
      </w:r>
      <w:r>
        <w:rPr>
          <w:rFonts w:ascii="Times New Roman"/>
          <w:u w:val="single"/>
        </w:rPr>
        <w:tab/>
      </w:r>
      <w:r>
        <w:rPr>
          <w:spacing w:val="-10"/>
        </w:rPr>
        <w:t xml:space="preserve">;</w:t>
      </w:r>
      <w:r/>
    </w:p>
    <w:p>
      <w:pPr>
        <w:pStyle w:val="998"/>
        <w:numPr>
          <w:ilvl w:val="0"/>
          <w:numId w:val="18"/>
        </w:numPr>
        <w:pBdr/>
        <w:tabs>
          <w:tab w:val="left" w:leader="none" w:pos="498"/>
          <w:tab w:val="left" w:leader="none" w:pos="3544"/>
          <w:tab w:val="left" w:leader="none" w:pos="4198"/>
        </w:tabs>
        <w:spacing/>
        <w:ind w:hanging="357" w:left="498"/>
        <w:rPr/>
      </w:pPr>
      <w:r>
        <w:t xml:space="preserve">il</w:t>
      </w:r>
      <w:r>
        <w:rPr>
          <w:spacing w:val="-2"/>
        </w:rPr>
        <w:t xml:space="preserve"> </w:t>
      </w:r>
      <w:r>
        <w:t xml:space="preserve">decreto</w:t>
      </w:r>
      <w:r>
        <w:rPr>
          <w:spacing w:val="-2"/>
        </w:rPr>
        <w:t xml:space="preserve"> </w:t>
      </w:r>
      <w:r>
        <w:t xml:space="preserve">di</w:t>
      </w:r>
      <w:r>
        <w:rPr>
          <w:spacing w:val="-2"/>
        </w:rPr>
        <w:t xml:space="preserve"> </w:t>
      </w:r>
      <w:r>
        <w:t xml:space="preserve">finanziamento</w:t>
      </w:r>
      <w:r>
        <w:rPr>
          <w:spacing w:val="-2"/>
        </w:rPr>
        <w:t xml:space="preserve"> </w:t>
      </w:r>
      <w:r>
        <w:t xml:space="preserve">n.</w:t>
      </w:r>
      <w:r>
        <w:rPr>
          <w:spacing w:val="-2"/>
        </w:rPr>
        <w:t xml:space="preserve"> </w:t>
      </w:r>
      <w:r>
        <w:rPr>
          <w:rFonts w:ascii="Times New Roman"/>
          <w:u w:val="single"/>
        </w:rPr>
        <w:tab/>
      </w:r>
      <w:r>
        <w:t xml:space="preserve">del </w:t>
      </w:r>
      <w:r>
        <w:rPr>
          <w:rFonts w:ascii="Times New Roman"/>
          <w:u w:val="single"/>
        </w:rPr>
        <w:tab/>
      </w:r>
      <w:r>
        <w:t xml:space="preserve">,</w:t>
      </w:r>
      <w:r>
        <w:rPr>
          <w:spacing w:val="-3"/>
        </w:rPr>
        <w:t xml:space="preserve"> </w:t>
      </w:r>
      <w:r>
        <w:t xml:space="preserve">registrato</w:t>
      </w:r>
      <w:r>
        <w:rPr>
          <w:spacing w:val="-2"/>
        </w:rPr>
        <w:t xml:space="preserve"> </w:t>
      </w:r>
      <w:r>
        <w:t xml:space="preserve">dalla</w:t>
      </w:r>
      <w:r>
        <w:rPr>
          <w:spacing w:val="-3"/>
        </w:rPr>
        <w:t xml:space="preserve"> </w:t>
      </w:r>
      <w:r>
        <w:t xml:space="preserve">Ragioneria</w:t>
      </w:r>
      <w:r>
        <w:rPr>
          <w:spacing w:val="-2"/>
        </w:rPr>
        <w:t xml:space="preserve"> </w:t>
      </w:r>
      <w:r>
        <w:t xml:space="preserve">Centrale</w:t>
      </w:r>
      <w:r>
        <w:rPr>
          <w:spacing w:val="-3"/>
        </w:rPr>
        <w:t xml:space="preserve"> </w:t>
      </w:r>
      <w:r>
        <w:t xml:space="preserve">del</w:t>
      </w:r>
      <w:r>
        <w:rPr>
          <w:spacing w:val="-2"/>
        </w:rPr>
        <w:t xml:space="preserve"> Dipartimento;</w:t>
      </w:r>
      <w:r/>
    </w:p>
    <w:p>
      <w:pPr>
        <w:pStyle w:val="997"/>
        <w:pBdr/>
        <w:spacing/>
        <w:ind/>
        <w:rPr/>
      </w:pPr>
      <w:r/>
      <w:r/>
    </w:p>
    <w:p>
      <w:pPr>
        <w:pStyle w:val="793"/>
        <w:pBdr/>
        <w:spacing/>
        <w:ind w:right="2737" w:left="2735"/>
        <w:rPr/>
      </w:pPr>
      <w:r>
        <w:t xml:space="preserve">TUTTO</w:t>
      </w:r>
      <w:r>
        <w:rPr>
          <w:spacing w:val="-4"/>
        </w:rPr>
        <w:t xml:space="preserve"> </w:t>
      </w:r>
      <w:r>
        <w:t xml:space="preserve">CIO'</w:t>
      </w:r>
      <w:r>
        <w:rPr>
          <w:spacing w:val="-3"/>
        </w:rPr>
        <w:t xml:space="preserve"> </w:t>
      </w:r>
      <w:r>
        <w:rPr>
          <w:spacing w:val="-2"/>
        </w:rPr>
        <w:t xml:space="preserve">PREMESSO</w:t>
      </w:r>
      <w:r/>
    </w:p>
    <w:p>
      <w:pPr>
        <w:pStyle w:val="997"/>
        <w:pBdr/>
        <w:spacing/>
        <w:ind w:right="148" w:left="141"/>
        <w:jc w:val="both"/>
        <w:rPr/>
      </w:pPr>
      <w:r>
        <w:t xml:space="preserve">parte</w:t>
      </w:r>
      <w:r>
        <w:rPr>
          <w:spacing w:val="40"/>
        </w:rPr>
        <w:t xml:space="preserve"> </w:t>
      </w:r>
      <w:r>
        <w:t xml:space="preserve">integrante</w:t>
      </w:r>
      <w:r>
        <w:rPr>
          <w:spacing w:val="40"/>
        </w:rPr>
        <w:t xml:space="preserve"> </w:t>
      </w:r>
      <w:r>
        <w:t xml:space="preserve">e</w:t>
      </w:r>
      <w:r>
        <w:rPr>
          <w:spacing w:val="40"/>
        </w:rPr>
        <w:t xml:space="preserve"> </w:t>
      </w:r>
      <w:r>
        <w:t xml:space="preserve">sostanziale</w:t>
      </w:r>
      <w:r>
        <w:rPr>
          <w:spacing w:val="40"/>
        </w:rPr>
        <w:t xml:space="preserve"> </w:t>
      </w:r>
      <w:r>
        <w:t xml:space="preserve">del</w:t>
      </w:r>
      <w:r>
        <w:rPr>
          <w:spacing w:val="40"/>
        </w:rPr>
        <w:t xml:space="preserve"> </w:t>
      </w:r>
      <w:r>
        <w:t xml:space="preserve">presente</w:t>
      </w:r>
      <w:r>
        <w:rPr>
          <w:spacing w:val="40"/>
        </w:rPr>
        <w:t xml:space="preserve"> </w:t>
      </w:r>
      <w:r>
        <w:t xml:space="preserve">Disciplinare,</w:t>
      </w:r>
      <w:r>
        <w:rPr>
          <w:spacing w:val="40"/>
        </w:rPr>
        <w:t xml:space="preserve"> </w:t>
      </w:r>
      <w:r>
        <w:t xml:space="preserve">i</w:t>
      </w:r>
      <w:r>
        <w:rPr>
          <w:spacing w:val="40"/>
        </w:rPr>
        <w:t xml:space="preserve"> </w:t>
      </w:r>
      <w:r>
        <w:t xml:space="preserve">rapporti</w:t>
      </w:r>
      <w:r>
        <w:rPr>
          <w:spacing w:val="40"/>
        </w:rPr>
        <w:t xml:space="preserve"> </w:t>
      </w:r>
      <w:r>
        <w:t xml:space="preserve">tra</w:t>
      </w:r>
      <w:r>
        <w:rPr>
          <w:spacing w:val="40"/>
        </w:rPr>
        <w:t xml:space="preserve"> </w:t>
      </w:r>
      <w:r>
        <w:t xml:space="preserve">la</w:t>
      </w:r>
      <w:r>
        <w:rPr>
          <w:spacing w:val="40"/>
        </w:rPr>
        <w:t xml:space="preserve"> </w:t>
      </w:r>
      <w:r>
        <w:t xml:space="preserve">Regione</w:t>
      </w:r>
      <w:r>
        <w:rPr>
          <w:spacing w:val="40"/>
        </w:rPr>
        <w:t xml:space="preserve"> </w:t>
      </w:r>
      <w:r>
        <w:t xml:space="preserve">Siciliana, Dipartimento Pianificazione Strategica e ………………………………</w:t>
      </w:r>
      <w:r>
        <w:t xml:space="preserve">…….</w:t>
      </w:r>
      <w:r>
        <w:t xml:space="preserve">., per la realizzazione dell’operazione di cui</w:t>
      </w:r>
      <w:r>
        <w:rPr>
          <w:spacing w:val="40"/>
        </w:rPr>
        <w:t xml:space="preserve"> </w:t>
      </w:r>
      <w:r>
        <w:t xml:space="preserve">all’allegato, sono regolati come di seguito.</w:t>
      </w:r>
      <w:r/>
    </w:p>
    <w:p>
      <w:pPr>
        <w:pStyle w:val="997"/>
        <w:pBdr/>
        <w:spacing/>
        <w:ind/>
        <w:rPr/>
      </w:pPr>
      <w:r/>
      <w:r/>
    </w:p>
    <w:p>
      <w:pPr>
        <w:pStyle w:val="997"/>
        <w:pBdr/>
        <w:spacing/>
        <w:ind/>
        <w:rPr/>
      </w:pPr>
      <w:r/>
      <w:r/>
    </w:p>
    <w:p>
      <w:pPr>
        <w:pStyle w:val="997"/>
        <w:pBdr/>
        <w:spacing/>
        <w:ind w:left="3134"/>
        <w:jc w:val="both"/>
        <w:rPr/>
      </w:pPr>
      <w:r>
        <w:rPr>
          <w:color w:val="2d73b4"/>
        </w:rPr>
        <w:t xml:space="preserve">Art.</w:t>
      </w:r>
      <w:r>
        <w:rPr>
          <w:color w:val="2d73b4"/>
          <w:spacing w:val="-10"/>
        </w:rPr>
        <w:t xml:space="preserve"> </w:t>
      </w:r>
      <w:r>
        <w:rPr>
          <w:color w:val="2d73b4"/>
        </w:rPr>
        <w:t xml:space="preserve">1</w:t>
      </w:r>
      <w:r>
        <w:rPr>
          <w:color w:val="2d73b4"/>
          <w:spacing w:val="-10"/>
        </w:rPr>
        <w:t xml:space="preserve"> </w:t>
      </w:r>
      <w:r>
        <w:rPr>
          <w:color w:val="2d73b4"/>
        </w:rPr>
        <w:t xml:space="preserve">–</w:t>
      </w:r>
      <w:r>
        <w:rPr>
          <w:color w:val="2d73b4"/>
          <w:spacing w:val="-9"/>
        </w:rPr>
        <w:t xml:space="preserve"> </w:t>
      </w:r>
      <w:r>
        <w:rPr>
          <w:color w:val="2d73b4"/>
        </w:rPr>
        <w:t xml:space="preserve">Oggetto</w:t>
      </w:r>
      <w:r>
        <w:rPr>
          <w:color w:val="2d73b4"/>
          <w:spacing w:val="-10"/>
        </w:rPr>
        <w:t xml:space="preserve"> </w:t>
      </w:r>
      <w:r>
        <w:rPr>
          <w:color w:val="2d73b4"/>
        </w:rPr>
        <w:t xml:space="preserve">e</w:t>
      </w:r>
      <w:r>
        <w:rPr>
          <w:color w:val="2d73b4"/>
          <w:spacing w:val="-10"/>
        </w:rPr>
        <w:t xml:space="preserve"> </w:t>
      </w:r>
      <w:r>
        <w:rPr>
          <w:color w:val="2d73b4"/>
        </w:rPr>
        <w:t xml:space="preserve">validità</w:t>
      </w:r>
      <w:r>
        <w:rPr>
          <w:color w:val="2d73b4"/>
          <w:spacing w:val="-9"/>
        </w:rPr>
        <w:t xml:space="preserve"> </w:t>
      </w:r>
      <w:r>
        <w:rPr>
          <w:color w:val="2d73b4"/>
        </w:rPr>
        <w:t xml:space="preserve">del</w:t>
      </w:r>
      <w:r>
        <w:rPr>
          <w:color w:val="2d73b4"/>
          <w:spacing w:val="-10"/>
        </w:rPr>
        <w:t xml:space="preserve"> </w:t>
      </w:r>
      <w:r>
        <w:rPr>
          <w:color w:val="2d73b4"/>
          <w:spacing w:val="-2"/>
        </w:rPr>
        <w:t xml:space="preserve">Disciplinare</w:t>
      </w:r>
      <w:r/>
    </w:p>
    <w:p>
      <w:pPr>
        <w:pStyle w:val="998"/>
        <w:numPr>
          <w:ilvl w:val="0"/>
          <w:numId w:val="17"/>
        </w:numPr>
        <w:pBdr/>
        <w:tabs>
          <w:tab w:val="left" w:leader="none" w:pos="565"/>
          <w:tab w:val="left" w:leader="none" w:pos="567"/>
        </w:tabs>
        <w:spacing/>
        <w:ind w:right="148" w:left="567"/>
        <w:rPr/>
      </w:pPr>
      <w:r>
        <w:t xml:space="preserve">I rapporti tra la Regione Siciliana, Dipartimento Pianificazione Strategica (di seguito, “Regione”) e </w:t>
      </w:r>
      <w:r>
        <w:rPr>
          <w:rFonts w:ascii="Times New Roman" w:hAnsi="Times New Roman"/>
          <w:spacing w:val="80"/>
          <w:u w:val="single"/>
        </w:rPr>
        <w:t xml:space="preserve">  </w:t>
      </w:r>
      <w:r>
        <w:t xml:space="preserve">, soggetto Beneficiario (di seguito, “Beneficiario”) del contributo finanziario (di seguito, anche “contributo” o</w:t>
      </w:r>
      <w:r>
        <w:rPr>
          <w:spacing w:val="40"/>
        </w:rPr>
        <w:t xml:space="preserve"> </w:t>
      </w:r>
      <w:r>
        <w:t xml:space="preserve">“finanziamento”)</w:t>
      </w:r>
      <w:r>
        <w:rPr>
          <w:spacing w:val="14"/>
        </w:rPr>
        <w:t xml:space="preserve"> </w:t>
      </w:r>
      <w:r>
        <w:t xml:space="preserve">a</w:t>
      </w:r>
      <w:r>
        <w:rPr>
          <w:spacing w:val="14"/>
        </w:rPr>
        <w:t xml:space="preserve"> </w:t>
      </w:r>
      <w:r>
        <w:t xml:space="preserve">valere</w:t>
      </w:r>
      <w:r>
        <w:rPr>
          <w:spacing w:val="14"/>
        </w:rPr>
        <w:t xml:space="preserve"> </w:t>
      </w:r>
      <w:r>
        <w:t xml:space="preserve">sul</w:t>
      </w:r>
      <w:r>
        <w:rPr>
          <w:spacing w:val="14"/>
        </w:rPr>
        <w:t xml:space="preserve"> </w:t>
      </w:r>
      <w:r>
        <w:t xml:space="preserve">PR</w:t>
      </w:r>
      <w:r>
        <w:rPr>
          <w:spacing w:val="14"/>
        </w:rPr>
        <w:t xml:space="preserve"> </w:t>
      </w:r>
      <w:r>
        <w:t xml:space="preserve">(di</w:t>
      </w:r>
      <w:r>
        <w:rPr>
          <w:spacing w:val="14"/>
        </w:rPr>
        <w:t xml:space="preserve"> </w:t>
      </w:r>
      <w:r>
        <w:t xml:space="preserve">seguito,</w:t>
      </w:r>
      <w:r>
        <w:rPr>
          <w:spacing w:val="14"/>
        </w:rPr>
        <w:t xml:space="preserve"> </w:t>
      </w:r>
      <w:r>
        <w:t xml:space="preserve">“Programma”),</w:t>
      </w:r>
      <w:r>
        <w:rPr>
          <w:spacing w:val="14"/>
        </w:rPr>
        <w:t xml:space="preserve"> </w:t>
      </w:r>
      <w:r>
        <w:t xml:space="preserve">Obiettivo</w:t>
      </w:r>
      <w:r>
        <w:rPr>
          <w:spacing w:val="14"/>
        </w:rPr>
        <w:t xml:space="preserve"> </w:t>
      </w:r>
      <w:r>
        <w:t xml:space="preserve">specifico</w:t>
      </w:r>
      <w:r>
        <w:rPr>
          <w:spacing w:val="14"/>
        </w:rPr>
        <w:t xml:space="preserve"> </w:t>
      </w:r>
      <w:r>
        <w:rPr>
          <w:rFonts w:ascii="Times New Roman" w:hAnsi="Times New Roman"/>
          <w:spacing w:val="80"/>
          <w:u w:val="single"/>
        </w:rPr>
        <w:t xml:space="preserve">  </w:t>
      </w:r>
      <w:r>
        <w:t xml:space="preserve">Azione</w:t>
      </w:r>
      <w:r>
        <w:rPr>
          <w:spacing w:val="14"/>
        </w:rPr>
        <w:t xml:space="preserve"> </w:t>
      </w:r>
      <w:r>
        <w:t xml:space="preserve">4.5</w:t>
      </w:r>
      <w:r>
        <w:rPr>
          <w:rFonts w:ascii="Times New Roman" w:hAnsi="Times New Roman"/>
          <w:spacing w:val="80"/>
          <w:u w:val="single"/>
        </w:rPr>
        <w:t xml:space="preserve"> </w:t>
      </w:r>
      <w:r>
        <w:t xml:space="preserve">PRATT</w:t>
      </w:r>
      <w:r>
        <w:t xml:space="preserve"> </w:t>
      </w:r>
      <w:r>
        <w:rPr>
          <w:rFonts w:ascii="Times New Roman" w:hAnsi="Times New Roman"/>
          <w:spacing w:val="80"/>
          <w:u w:val="single"/>
        </w:rPr>
        <w:t xml:space="preserve"> </w:t>
      </w:r>
      <w:r>
        <w:t xml:space="preserve">, per l’importo di € </w:t>
      </w:r>
      <w:r>
        <w:rPr>
          <w:rFonts w:ascii="Times New Roman" w:hAnsi="Times New Roman"/>
          <w:spacing w:val="80"/>
          <w:u w:val="single"/>
        </w:rPr>
        <w:t xml:space="preserve"> </w:t>
      </w:r>
      <w:r>
        <w:t xml:space="preserve">, a fronte di un investimento complessivo di € </w:t>
      </w:r>
      <w:r>
        <w:rPr>
          <w:rFonts w:ascii="Times New Roman" w:hAnsi="Times New Roman"/>
          <w:spacing w:val="80"/>
          <w:u w:val="single"/>
        </w:rPr>
        <w:t xml:space="preserve"> </w:t>
      </w:r>
      <w:r>
        <w:t xml:space="preserve">, per la realizzazione dell’operazione (di seguito, l’Operazione) di cui all’Allegato al presente Disciplinare, costituente parte integrante di quest’ultimo, sono regolamentati secondo quanto riportato nei successivi articoli.</w:t>
      </w:r>
      <w:r/>
    </w:p>
    <w:p>
      <w:pPr>
        <w:pStyle w:val="998"/>
        <w:numPr>
          <w:ilvl w:val="0"/>
          <w:numId w:val="17"/>
        </w:numPr>
        <w:pBdr/>
        <w:tabs>
          <w:tab w:val="left" w:leader="none" w:pos="565"/>
          <w:tab w:val="left" w:leader="none" w:pos="567"/>
        </w:tabs>
        <w:spacing/>
        <w:ind w:right="147" w:left="567"/>
        <w:rPr/>
      </w:pPr>
      <w:r>
        <w:t xml:space="preserve">Il</w:t>
      </w:r>
      <w:r>
        <w:rPr>
          <w:spacing w:val="-1"/>
        </w:rPr>
        <w:t xml:space="preserve"> </w:t>
      </w:r>
      <w:r>
        <w:t xml:space="preserve">presente</w:t>
      </w:r>
      <w:r>
        <w:rPr>
          <w:spacing w:val="-1"/>
        </w:rPr>
        <w:t xml:space="preserve"> </w:t>
      </w:r>
      <w:r>
        <w:t xml:space="preserve">Disciplinare</w:t>
      </w:r>
      <w:r>
        <w:rPr>
          <w:spacing w:val="-1"/>
        </w:rPr>
        <w:t xml:space="preserve"> </w:t>
      </w:r>
      <w:r>
        <w:t xml:space="preserve">decorre</w:t>
      </w:r>
      <w:r>
        <w:rPr>
          <w:spacing w:val="-1"/>
        </w:rPr>
        <w:t xml:space="preserve"> </w:t>
      </w:r>
      <w:r>
        <w:t xml:space="preserve">dalla</w:t>
      </w:r>
      <w:r>
        <w:rPr>
          <w:spacing w:val="-1"/>
        </w:rPr>
        <w:t xml:space="preserve"> </w:t>
      </w:r>
      <w:r>
        <w:t xml:space="preserve">data</w:t>
      </w:r>
      <w:r>
        <w:rPr>
          <w:spacing w:val="-1"/>
        </w:rPr>
        <w:t xml:space="preserve"> </w:t>
      </w:r>
      <w:r>
        <w:t xml:space="preserve">di</w:t>
      </w:r>
      <w:r>
        <w:rPr>
          <w:spacing w:val="-1"/>
        </w:rPr>
        <w:t xml:space="preserve"> </w:t>
      </w:r>
      <w:r>
        <w:t xml:space="preserve">formale</w:t>
      </w:r>
      <w:r>
        <w:rPr>
          <w:spacing w:val="-1"/>
        </w:rPr>
        <w:t xml:space="preserve"> </w:t>
      </w:r>
      <w:r>
        <w:t xml:space="preserve">adesione</w:t>
      </w:r>
      <w:r>
        <w:rPr>
          <w:spacing w:val="-1"/>
        </w:rPr>
        <w:t xml:space="preserve"> </w:t>
      </w:r>
      <w:r>
        <w:t xml:space="preserve">allo</w:t>
      </w:r>
      <w:r>
        <w:rPr>
          <w:spacing w:val="-1"/>
        </w:rPr>
        <w:t xml:space="preserve"> </w:t>
      </w:r>
      <w:r>
        <w:t xml:space="preserve">stesso</w:t>
      </w:r>
      <w:r>
        <w:rPr>
          <w:spacing w:val="-1"/>
        </w:rPr>
        <w:t xml:space="preserve"> </w:t>
      </w:r>
      <w:r>
        <w:t xml:space="preserve">da</w:t>
      </w:r>
      <w:r>
        <w:rPr>
          <w:spacing w:val="-1"/>
        </w:rPr>
        <w:t xml:space="preserve"> </w:t>
      </w:r>
      <w:r>
        <w:t xml:space="preserve">parte</w:t>
      </w:r>
      <w:r>
        <w:rPr>
          <w:spacing w:val="-1"/>
        </w:rPr>
        <w:t xml:space="preserve"> </w:t>
      </w:r>
      <w:r>
        <w:t xml:space="preserve">del</w:t>
      </w:r>
      <w:r>
        <w:rPr>
          <w:spacing w:val="-1"/>
        </w:rPr>
        <w:t xml:space="preserve"> </w:t>
      </w:r>
      <w:r>
        <w:t xml:space="preserve">Beneficiario</w:t>
      </w:r>
      <w:r>
        <w:rPr>
          <w:spacing w:val="-1"/>
        </w:rPr>
        <w:t xml:space="preserve"> </w:t>
      </w:r>
      <w:r>
        <w:t xml:space="preserve">e</w:t>
      </w:r>
      <w:r>
        <w:rPr>
          <w:spacing w:val="-1"/>
        </w:rPr>
        <w:t xml:space="preserve"> </w:t>
      </w:r>
      <w:r>
        <w:t xml:space="preserve">ha validità sino al </w:t>
      </w:r>
      <w:r>
        <w:rPr>
          <w:rFonts w:ascii="Times New Roman" w:hAnsi="Times New Roman"/>
          <w:spacing w:val="80"/>
          <w:u w:val="single"/>
        </w:rPr>
        <w:t xml:space="preserve">  </w:t>
      </w:r>
      <w:r>
        <w:t xml:space="preserve">.</w:t>
      </w:r>
      <w:r/>
    </w:p>
    <w:p>
      <w:pPr>
        <w:pStyle w:val="998"/>
        <w:numPr>
          <w:ilvl w:val="0"/>
          <w:numId w:val="17"/>
        </w:numPr>
        <w:pBdr/>
        <w:tabs>
          <w:tab w:val="left" w:leader="none" w:pos="565"/>
          <w:tab w:val="left" w:leader="none" w:pos="567"/>
        </w:tabs>
        <w:spacing/>
        <w:ind w:right="149" w:left="567"/>
        <w:rPr/>
      </w:pPr>
      <w:r>
        <w:t xml:space="preserve">Tutti i termini indicati nel presente Disciplinare sono da intendersi riferiti a giorni naturali e</w:t>
      </w:r>
      <w:r>
        <w:rPr>
          <w:spacing w:val="40"/>
        </w:rPr>
        <w:t xml:space="preserve"> </w:t>
      </w:r>
      <w:r>
        <w:t xml:space="preserve">consecutivi, salvo ove diversamente indicato.</w:t>
      </w:r>
      <w:r/>
    </w:p>
    <w:p>
      <w:pPr>
        <w:pStyle w:val="997"/>
        <w:pBdr/>
        <w:spacing/>
        <w:ind/>
        <w:rPr/>
      </w:pPr>
      <w:r/>
      <w:r/>
    </w:p>
    <w:p>
      <w:pPr>
        <w:pStyle w:val="997"/>
        <w:pBdr/>
        <w:spacing/>
        <w:ind w:left="3535"/>
        <w:jc w:val="both"/>
        <w:rPr/>
      </w:pPr>
      <w:r>
        <w:rPr>
          <w:color w:val="2d73b4"/>
        </w:rPr>
        <w:t xml:space="preserve">Art.</w:t>
      </w:r>
      <w:r>
        <w:rPr>
          <w:color w:val="2d73b4"/>
          <w:spacing w:val="-9"/>
        </w:rPr>
        <w:t xml:space="preserve"> </w:t>
      </w:r>
      <w:r>
        <w:rPr>
          <w:color w:val="2d73b4"/>
        </w:rPr>
        <w:t xml:space="preserve">2</w:t>
      </w:r>
      <w:r>
        <w:rPr>
          <w:color w:val="2d73b4"/>
          <w:spacing w:val="-8"/>
        </w:rPr>
        <w:t xml:space="preserve"> </w:t>
      </w:r>
      <w:r>
        <w:rPr>
          <w:color w:val="2d73b4"/>
        </w:rPr>
        <w:t xml:space="preserve">–</w:t>
      </w:r>
      <w:r>
        <w:rPr>
          <w:color w:val="2d73b4"/>
          <w:spacing w:val="-9"/>
        </w:rPr>
        <w:t xml:space="preserve"> </w:t>
      </w:r>
      <w:r>
        <w:rPr>
          <w:color w:val="2d73b4"/>
        </w:rPr>
        <w:t xml:space="preserve">Obblighi</w:t>
      </w:r>
      <w:r>
        <w:rPr>
          <w:color w:val="2d73b4"/>
          <w:spacing w:val="-8"/>
        </w:rPr>
        <w:t xml:space="preserve"> </w:t>
      </w:r>
      <w:r>
        <w:rPr>
          <w:color w:val="2d73b4"/>
        </w:rPr>
        <w:t xml:space="preserve">del</w:t>
      </w:r>
      <w:r>
        <w:rPr>
          <w:color w:val="2d73b4"/>
          <w:spacing w:val="-9"/>
        </w:rPr>
        <w:t xml:space="preserve"> </w:t>
      </w:r>
      <w:r>
        <w:rPr>
          <w:color w:val="2d73b4"/>
          <w:spacing w:val="-2"/>
        </w:rPr>
        <w:t xml:space="preserve">Beneficiario</w:t>
      </w:r>
      <w:r/>
    </w:p>
    <w:p>
      <w:pPr>
        <w:pStyle w:val="997"/>
        <w:pBdr/>
        <w:spacing/>
        <w:ind w:right="149" w:left="141"/>
        <w:jc w:val="both"/>
        <w:rPr/>
      </w:pPr>
      <w:r>
        <w:t xml:space="preserve">Il Beneficiario provvede a dare attuazione all’Operazione e, al fine di garantire il rispetto delle procedure di gestione previste per il Programma, si obbliga a:</w:t>
      </w:r>
      <w:r/>
    </w:p>
    <w:p>
      <w:pPr>
        <w:pStyle w:val="998"/>
        <w:numPr>
          <w:ilvl w:val="1"/>
          <w:numId w:val="17"/>
        </w:numPr>
        <w:pBdr/>
        <w:tabs>
          <w:tab w:val="left" w:leader="none" w:pos="860"/>
          <w:tab w:val="left" w:leader="none" w:pos="862"/>
        </w:tabs>
        <w:spacing/>
        <w:ind w:right="148"/>
        <w:rPr/>
      </w:pPr>
      <w:r>
        <w:t xml:space="preserve">Il rispetto dei princ</w:t>
      </w:r>
      <w:r>
        <w:t xml:space="preserve">ipi trasversali dell’Unione Europea, quali non discriminazione, trasparenza, la parità di genere e della Carta dei diritti fondamentali dell’Unione europea, nonché del principio dello sviluppo sostenibile e della politica dell’Unione in materia ambientale;</w:t>
      </w:r>
      <w:r/>
    </w:p>
    <w:p>
      <w:pPr>
        <w:pStyle w:val="998"/>
        <w:pBdr/>
        <w:spacing/>
        <w:ind/>
        <w:rPr/>
        <w:sectPr>
          <w:footnotePr/>
          <w:endnotePr/>
          <w:type w:val="nextPage"/>
          <w:pgSz w:h="16840" w:orient="portrait" w:w="11910"/>
          <w:pgMar w:top="1720" w:right="992" w:bottom="880" w:left="992" w:header="735" w:footer="682" w:gutter="0"/>
          <w:cols w:num="1" w:sep="0" w:space="1701" w:equalWidth="1"/>
        </w:sectPr>
      </w:pPr>
      <w:r/>
      <w:r/>
    </w:p>
    <w:p>
      <w:pPr>
        <w:pStyle w:val="997"/>
        <w:pBdr/>
        <w:spacing w:before="45"/>
        <w:ind/>
        <w:rPr/>
      </w:pPr>
      <w:r/>
      <w:r/>
    </w:p>
    <w:p>
      <w:pPr>
        <w:pStyle w:val="998"/>
        <w:numPr>
          <w:ilvl w:val="1"/>
          <w:numId w:val="17"/>
        </w:numPr>
        <w:pBdr/>
        <w:tabs>
          <w:tab w:val="left" w:leader="none" w:pos="859"/>
          <w:tab w:val="left" w:leader="none" w:pos="861"/>
        </w:tabs>
        <w:spacing/>
        <w:ind w:right="148" w:left="861"/>
        <w:rPr/>
      </w:pPr>
      <w:r>
        <w:t xml:space="preserve">la conformità delle procedure utilizzate alle norme comunitarie e nazionali di settore nonché a q</w:t>
      </w:r>
      <w:r>
        <w:t xml:space="preserve">uelle in materia energetica, ambientale, sociale, sicurezza e lavoro, di pari opportunità, gare di appalto e regole della concorrenza ed in particolare il rispetto di quanto disposto dall’art. 50 del Reg. (UE) n. 1060/2021 “Responsabilità dei beneficiari”;</w:t>
      </w:r>
      <w:r/>
    </w:p>
    <w:p>
      <w:pPr>
        <w:pStyle w:val="998"/>
        <w:numPr>
          <w:ilvl w:val="1"/>
          <w:numId w:val="17"/>
        </w:numPr>
        <w:pBdr/>
        <w:tabs>
          <w:tab w:val="left" w:leader="none" w:pos="859"/>
          <w:tab w:val="left" w:leader="none" w:pos="861"/>
        </w:tabs>
        <w:spacing/>
        <w:ind w:right="148" w:left="861"/>
        <w:rPr/>
      </w:pPr>
      <w:r>
        <w:t xml:space="preserve">lo svolgimento di un’istruttoria m</w:t>
      </w:r>
      <w:r>
        <w:t xml:space="preserve">otivata che, nell’ambito della propria auto-organizzazione amministrativa, giustifichi la scelta di affidare eventualmente a una Società in house la prestazione di servizi specialistici. Il provvedimento motivato dell’affidamento in house, da adottarsi nel</w:t>
      </w:r>
      <w:r>
        <w:rPr>
          <w:spacing w:val="40"/>
        </w:rPr>
        <w:t xml:space="preserve"> </w:t>
      </w:r>
      <w:r>
        <w:t xml:space="preserve">rispetto dei principi di “risultato”, “fiducia” e “accesso al mercato”, deve dare conto dei vantaggi per la collettività, delle connesse esternalità e della congruità economica della prestazione, anche</w:t>
      </w:r>
      <w:r>
        <w:rPr>
          <w:spacing w:val="40"/>
        </w:rPr>
        <w:t xml:space="preserve"> </w:t>
      </w:r>
      <w:r>
        <w:t xml:space="preserve">in relazione al perseguimento di obiettivi di universalità, socialità, efficienza, economicità, qualità della prestazione, celerità del procedimento e razionale impiego di risorse pubbliche (eventuale);</w:t>
      </w:r>
      <w:r/>
    </w:p>
    <w:p>
      <w:pPr>
        <w:pStyle w:val="998"/>
        <w:numPr>
          <w:ilvl w:val="1"/>
          <w:numId w:val="17"/>
        </w:numPr>
        <w:pBdr/>
        <w:tabs>
          <w:tab w:val="left" w:leader="none" w:pos="859"/>
          <w:tab w:val="left" w:leader="none" w:pos="861"/>
        </w:tabs>
        <w:spacing/>
        <w:ind w:right="148" w:left="861"/>
        <w:rPr/>
      </w:pPr>
      <w:r>
        <w:t xml:space="preserve">un sistema di contabilità separata (art 57 del CPR) o una codificazione contabile appropriata per tutte</w:t>
      </w:r>
      <w:r>
        <w:rPr>
          <w:spacing w:val="-2"/>
        </w:rPr>
        <w:t xml:space="preserve"> </w:t>
      </w:r>
      <w:r>
        <w:t xml:space="preserve">le</w:t>
      </w:r>
      <w:r>
        <w:rPr>
          <w:spacing w:val="-2"/>
        </w:rPr>
        <w:t xml:space="preserve"> </w:t>
      </w:r>
      <w:r>
        <w:t xml:space="preserve">transazioni</w:t>
      </w:r>
      <w:r>
        <w:rPr>
          <w:spacing w:val="-2"/>
        </w:rPr>
        <w:t xml:space="preserve"> </w:t>
      </w:r>
      <w:r>
        <w:t xml:space="preserve">relative</w:t>
      </w:r>
      <w:r>
        <w:rPr>
          <w:spacing w:val="-2"/>
        </w:rPr>
        <w:t xml:space="preserve"> </w:t>
      </w:r>
      <w:r>
        <w:t xml:space="preserve">alle</w:t>
      </w:r>
      <w:r>
        <w:rPr>
          <w:spacing w:val="-2"/>
        </w:rPr>
        <w:t xml:space="preserve"> </w:t>
      </w:r>
      <w:r>
        <w:t xml:space="preserve">operazioni</w:t>
      </w:r>
      <w:r>
        <w:rPr>
          <w:spacing w:val="-2"/>
        </w:rPr>
        <w:t xml:space="preserve"> </w:t>
      </w:r>
      <w:r>
        <w:t xml:space="preserve">afferenti</w:t>
      </w:r>
      <w:r>
        <w:rPr>
          <w:spacing w:val="-2"/>
        </w:rPr>
        <w:t xml:space="preserve"> </w:t>
      </w:r>
      <w:r>
        <w:t xml:space="preserve">al</w:t>
      </w:r>
      <w:r>
        <w:rPr>
          <w:spacing w:val="-2"/>
        </w:rPr>
        <w:t xml:space="preserve"> </w:t>
      </w:r>
      <w:r>
        <w:t xml:space="preserve">PR</w:t>
      </w:r>
      <w:r>
        <w:rPr>
          <w:spacing w:val="-2"/>
        </w:rPr>
        <w:t xml:space="preserve"> </w:t>
      </w:r>
      <w:r>
        <w:t xml:space="preserve">FESR</w:t>
      </w:r>
      <w:r>
        <w:rPr>
          <w:spacing w:val="-2"/>
        </w:rPr>
        <w:t xml:space="preserve"> </w:t>
      </w:r>
      <w:r>
        <w:t xml:space="preserve">21-27</w:t>
      </w:r>
      <w:r>
        <w:rPr>
          <w:spacing w:val="-2"/>
        </w:rPr>
        <w:t xml:space="preserve"> </w:t>
      </w:r>
      <w:r>
        <w:t xml:space="preserve">e</w:t>
      </w:r>
      <w:r>
        <w:rPr>
          <w:spacing w:val="-2"/>
        </w:rPr>
        <w:t xml:space="preserve"> </w:t>
      </w:r>
      <w:r>
        <w:t xml:space="preserve">la</w:t>
      </w:r>
      <w:r>
        <w:rPr>
          <w:spacing w:val="-2"/>
        </w:rPr>
        <w:t xml:space="preserve"> </w:t>
      </w:r>
      <w:r>
        <w:t xml:space="preserve">costituzione</w:t>
      </w:r>
      <w:r>
        <w:rPr>
          <w:spacing w:val="-2"/>
        </w:rPr>
        <w:t xml:space="preserve"> </w:t>
      </w:r>
      <w:r>
        <w:t xml:space="preserve">di</w:t>
      </w:r>
      <w:r>
        <w:rPr>
          <w:spacing w:val="-2"/>
        </w:rPr>
        <w:t xml:space="preserve"> </w:t>
      </w:r>
      <w:r>
        <w:t xml:space="preserve">un</w:t>
      </w:r>
      <w:r>
        <w:rPr>
          <w:spacing w:val="-2"/>
        </w:rPr>
        <w:t xml:space="preserve"> </w:t>
      </w:r>
      <w:r>
        <w:t xml:space="preserve">conto</w:t>
      </w:r>
      <w:r>
        <w:rPr>
          <w:spacing w:val="-2"/>
        </w:rPr>
        <w:t xml:space="preserve"> </w:t>
      </w:r>
      <w:r>
        <w:t xml:space="preserve">di tesoreria e/o conto corrente per entrate e uscite relative a tutte le operazioni afferenti al PR FESR </w:t>
      </w:r>
      <w:r>
        <w:rPr>
          <w:spacing w:val="-2"/>
        </w:rPr>
        <w:t xml:space="preserve">21/27;</w:t>
      </w:r>
      <w:r/>
    </w:p>
    <w:p>
      <w:pPr>
        <w:pStyle w:val="998"/>
        <w:numPr>
          <w:ilvl w:val="1"/>
          <w:numId w:val="17"/>
        </w:numPr>
        <w:pBdr/>
        <w:tabs>
          <w:tab w:val="left" w:leader="none" w:pos="859"/>
          <w:tab w:val="left" w:leader="none" w:pos="861"/>
        </w:tabs>
        <w:spacing/>
        <w:ind w:right="149" w:left="861"/>
        <w:rPr/>
      </w:pPr>
      <w:r>
        <w:t xml:space="preserve">il rispetto di tutte le disposizioni per la tracciabilità dei flussi finanziari di cui all’art. 3 della Legge n. 136 del 13 agosto 2010 e s.m.i.;</w:t>
      </w:r>
      <w:r/>
    </w:p>
    <w:p>
      <w:pPr>
        <w:pStyle w:val="998"/>
        <w:numPr>
          <w:ilvl w:val="1"/>
          <w:numId w:val="17"/>
        </w:numPr>
        <w:pBdr/>
        <w:tabs>
          <w:tab w:val="left" w:leader="none" w:pos="859"/>
        </w:tabs>
        <w:spacing/>
        <w:ind w:hanging="358" w:left="859"/>
        <w:rPr/>
      </w:pPr>
      <w:r>
        <w:t xml:space="preserve">il</w:t>
      </w:r>
      <w:r>
        <w:rPr>
          <w:spacing w:val="-6"/>
        </w:rPr>
        <w:t xml:space="preserve"> </w:t>
      </w:r>
      <w:r>
        <w:t xml:space="preserve">rispetto</w:t>
      </w:r>
      <w:r>
        <w:rPr>
          <w:spacing w:val="-6"/>
        </w:rPr>
        <w:t xml:space="preserve"> </w:t>
      </w:r>
      <w:r>
        <w:t xml:space="preserve">della</w:t>
      </w:r>
      <w:r>
        <w:rPr>
          <w:spacing w:val="-6"/>
        </w:rPr>
        <w:t xml:space="preserve"> </w:t>
      </w:r>
      <w:r>
        <w:t xml:space="preserve">normativa</w:t>
      </w:r>
      <w:r>
        <w:rPr>
          <w:spacing w:val="-5"/>
        </w:rPr>
        <w:t xml:space="preserve"> </w:t>
      </w:r>
      <w:r>
        <w:t xml:space="preserve">comunitaria,</w:t>
      </w:r>
      <w:r>
        <w:rPr>
          <w:spacing w:val="-6"/>
        </w:rPr>
        <w:t xml:space="preserve"> </w:t>
      </w:r>
      <w:r>
        <w:t xml:space="preserve">nazionale</w:t>
      </w:r>
      <w:r>
        <w:rPr>
          <w:spacing w:val="-6"/>
        </w:rPr>
        <w:t xml:space="preserve"> </w:t>
      </w:r>
      <w:r>
        <w:t xml:space="preserve">e</w:t>
      </w:r>
      <w:r>
        <w:rPr>
          <w:spacing w:val="-5"/>
        </w:rPr>
        <w:t xml:space="preserve"> </w:t>
      </w:r>
      <w:r>
        <w:t xml:space="preserve">regionale</w:t>
      </w:r>
      <w:r>
        <w:rPr>
          <w:spacing w:val="-6"/>
        </w:rPr>
        <w:t xml:space="preserve"> </w:t>
      </w:r>
      <w:r>
        <w:t xml:space="preserve">sull’ammissibilità</w:t>
      </w:r>
      <w:r>
        <w:rPr>
          <w:spacing w:val="-6"/>
        </w:rPr>
        <w:t xml:space="preserve"> </w:t>
      </w:r>
      <w:r>
        <w:t xml:space="preserve">delle</w:t>
      </w:r>
      <w:r>
        <w:rPr>
          <w:spacing w:val="-5"/>
        </w:rPr>
        <w:t xml:space="preserve"> </w:t>
      </w:r>
      <w:r>
        <w:rPr>
          <w:spacing w:val="-2"/>
        </w:rPr>
        <w:t xml:space="preserve">spese;</w:t>
      </w:r>
      <w:r/>
    </w:p>
    <w:p>
      <w:pPr>
        <w:pStyle w:val="998"/>
        <w:numPr>
          <w:ilvl w:val="1"/>
          <w:numId w:val="17"/>
        </w:numPr>
        <w:pBdr/>
        <w:tabs>
          <w:tab w:val="left" w:leader="none" w:pos="859"/>
          <w:tab w:val="left" w:leader="none" w:pos="861"/>
        </w:tabs>
        <w:spacing/>
        <w:ind w:right="148" w:left="861"/>
        <w:rPr/>
      </w:pPr>
      <w:r>
        <w:t xml:space="preserve">il rispetto del divieto di doppio finanziamento previsto dalla normativa europea e nazionale nell’utilizzo di risorse pubbliche;</w:t>
      </w:r>
      <w:r/>
    </w:p>
    <w:p>
      <w:pPr>
        <w:pStyle w:val="998"/>
        <w:numPr>
          <w:ilvl w:val="1"/>
          <w:numId w:val="17"/>
        </w:numPr>
        <w:pBdr/>
        <w:tabs>
          <w:tab w:val="left" w:leader="none" w:pos="859"/>
          <w:tab w:val="left" w:leader="none" w:pos="861"/>
        </w:tabs>
        <w:spacing/>
        <w:ind w:right="148" w:left="861"/>
        <w:rPr/>
      </w:pPr>
      <w:r>
        <w:t xml:space="preserve">il rispetto, lì dove ne sussistano i requisiti, di quanto previsto dall’art. 73 c.2 lett. j) del RDC</w:t>
      </w:r>
      <w:r>
        <w:t xml:space="preserve">, ovvero “l’immunizzazione dagli effetti del clima degli investimenti in infrastrutture la cui durata attesa è di almeno cinque anni” (Comunicazione 2021/C 373/01 – climateproofing), come declinato tra i requisiti di “Ammissibilità Generale”: criterio 3.5;</w:t>
      </w:r>
      <w:r/>
    </w:p>
    <w:p>
      <w:pPr>
        <w:pStyle w:val="998"/>
        <w:numPr>
          <w:ilvl w:val="1"/>
          <w:numId w:val="17"/>
        </w:numPr>
        <w:pBdr/>
        <w:tabs>
          <w:tab w:val="left" w:leader="none" w:pos="859"/>
          <w:tab w:val="left" w:leader="none" w:pos="861"/>
        </w:tabs>
        <w:spacing/>
        <w:ind w:right="147" w:left="861"/>
        <w:rPr/>
      </w:pPr>
      <w:r>
        <w:t xml:space="preserve">il rispetto del principio del DNSH ex art. 17 del Regolamento (UE) 2020/852, come declinato tra i requisiti di “Ammissibilità Generale”: criterio 3.9;</w:t>
      </w:r>
      <w:r/>
    </w:p>
    <w:p>
      <w:pPr>
        <w:pStyle w:val="998"/>
        <w:numPr>
          <w:ilvl w:val="1"/>
          <w:numId w:val="17"/>
        </w:numPr>
        <w:pBdr/>
        <w:tabs>
          <w:tab w:val="left" w:leader="none" w:pos="859"/>
          <w:tab w:val="left" w:leader="none" w:pos="861"/>
        </w:tabs>
        <w:spacing/>
        <w:ind w:right="149" w:left="861"/>
        <w:rPr/>
      </w:pPr>
      <w:r>
        <w:t xml:space="preserve">il rispetto degli specifici adempimenti eventualmente stabiliti dall’avviso di selezione ovvero connessi alla procedura di selezione e concessione dal decreto di ammissione a finanziamento;</w:t>
      </w:r>
      <w:r/>
    </w:p>
    <w:p>
      <w:pPr>
        <w:pStyle w:val="998"/>
        <w:numPr>
          <w:ilvl w:val="1"/>
          <w:numId w:val="17"/>
        </w:numPr>
        <w:pBdr/>
        <w:tabs>
          <w:tab w:val="left" w:leader="none" w:pos="859"/>
          <w:tab w:val="left" w:leader="none" w:pos="861"/>
        </w:tabs>
        <w:spacing/>
        <w:ind w:right="147" w:left="861"/>
        <w:rPr/>
      </w:pPr>
      <w:r>
        <w:t xml:space="preserve">l’implementazio</w:t>
      </w:r>
      <w:r>
        <w:t xml:space="preserve">ne in modo adeguato della sezione di propria competenza del sistema di monitoraggio alle scadenze comunicate e con le modalità richieste, al fine di fornire i dati relativi all’attuazione delle attività/operazioni finanziate, necessari ad alimentare il mon</w:t>
      </w:r>
      <w:r>
        <w:t xml:space="preserve">itoraggio finanziario, procedurale e fisico. L’aggiornamento del sistema di monitoraggio da parte del Beneficiario sarà propedeutico alla liquidazione degli acconti del finanziamento concesso da parte della Regione durante la realizzazione dell’operazione;</w:t>
      </w:r>
      <w:r/>
    </w:p>
    <w:p>
      <w:pPr>
        <w:pStyle w:val="998"/>
        <w:numPr>
          <w:ilvl w:val="1"/>
          <w:numId w:val="17"/>
        </w:numPr>
        <w:pBdr/>
        <w:tabs>
          <w:tab w:val="left" w:leader="none" w:pos="859"/>
          <w:tab w:val="left" w:leader="none" w:pos="861"/>
        </w:tabs>
        <w:spacing/>
        <w:ind w:right="150" w:left="861"/>
        <w:rPr/>
      </w:pPr>
      <w:r>
        <w:t xml:space="preserve">l’attestazione delle spese effettivamente sostenute e quietanzate nel periodo di riferimento, unitamente alla copia della documentazione tecnico/amministrativa/contabile relativa alle attività/operazioni finanziate;</w:t>
      </w:r>
      <w:r/>
    </w:p>
    <w:p>
      <w:pPr>
        <w:pStyle w:val="998"/>
        <w:numPr>
          <w:ilvl w:val="1"/>
          <w:numId w:val="17"/>
        </w:numPr>
        <w:pBdr/>
        <w:tabs>
          <w:tab w:val="left" w:leader="none" w:pos="859"/>
          <w:tab w:val="left" w:leader="none" w:pos="861"/>
        </w:tabs>
        <w:spacing/>
        <w:ind w:right="150" w:left="861"/>
        <w:rPr/>
      </w:pPr>
      <w:r>
        <w:t xml:space="preserve">il rispetto delle procedure definite nella pista di controllo secondo quanto specificamente indicato dal CdR concedente;</w:t>
      </w:r>
      <w:r/>
    </w:p>
    <w:p>
      <w:pPr>
        <w:pStyle w:val="998"/>
        <w:numPr>
          <w:ilvl w:val="1"/>
          <w:numId w:val="17"/>
        </w:numPr>
        <w:pBdr/>
        <w:tabs>
          <w:tab w:val="left" w:leader="none" w:pos="859"/>
          <w:tab w:val="left" w:leader="none" w:pos="861"/>
        </w:tabs>
        <w:spacing/>
        <w:ind w:right="146" w:left="861"/>
        <w:rPr/>
      </w:pPr>
      <w:r>
        <w:t xml:space="preserve">la predisposizione e l’invio al CdR concedente dei cronoprogrammi procedurale e di spesa allegati alla presente Convenzione. In particolare, il cronoprogramma di spesa deve riportare le previsioni</w:t>
      </w:r>
      <w:r>
        <w:rPr>
          <w:spacing w:val="40"/>
        </w:rPr>
        <w:t xml:space="preserve"> </w:t>
      </w:r>
      <w:r>
        <w:t xml:space="preserve">di spesa dell’operazione in coerenza con l’avanzamento fisico e procedurale riportato nel cronoprogramma procedurale;</w:t>
      </w:r>
      <w:r/>
    </w:p>
    <w:p>
      <w:pPr>
        <w:pStyle w:val="998"/>
        <w:numPr>
          <w:ilvl w:val="1"/>
          <w:numId w:val="17"/>
        </w:numPr>
        <w:pBdr/>
        <w:tabs>
          <w:tab w:val="left" w:leader="none" w:pos="859"/>
          <w:tab w:val="left" w:leader="none" w:pos="861"/>
        </w:tabs>
        <w:spacing/>
        <w:ind w:right="147" w:left="861"/>
        <w:rPr/>
      </w:pPr>
      <w:r>
        <w:t xml:space="preserve">il rispetto del cronogramma procedurale e di spesa dell’operazione riportato nel Decreto di ammissione a finanziamento e allegato alla presente Convenzione.</w:t>
      </w:r>
      <w:r/>
    </w:p>
    <w:p>
      <w:pPr>
        <w:pStyle w:val="998"/>
        <w:numPr>
          <w:ilvl w:val="1"/>
          <w:numId w:val="17"/>
        </w:numPr>
        <w:pBdr/>
        <w:tabs>
          <w:tab w:val="left" w:leader="none" w:pos="859"/>
          <w:tab w:val="left" w:leader="none" w:pos="861"/>
        </w:tabs>
        <w:spacing/>
        <w:ind w:right="149" w:left="861"/>
        <w:rPr/>
      </w:pPr>
      <w:r>
        <w:t xml:space="preserve">l’istituzione di un fascicolo di progetto contenente la documentazione tecnica, amministrativa e contabile in originale, conformemente a quanto prescritto nel Manuale controlli;</w:t>
      </w:r>
      <w:r/>
    </w:p>
    <w:p>
      <w:pPr>
        <w:pStyle w:val="998"/>
        <w:numPr>
          <w:ilvl w:val="1"/>
          <w:numId w:val="17"/>
        </w:numPr>
        <w:pBdr/>
        <w:tabs>
          <w:tab w:val="left" w:leader="none" w:pos="859"/>
          <w:tab w:val="left" w:leader="none" w:pos="861"/>
        </w:tabs>
        <w:spacing/>
        <w:ind w:right="149" w:left="861"/>
        <w:rPr/>
      </w:pPr>
      <w:r>
        <w:t xml:space="preserve">l’emissione, in caso di pluralità di operazioni cofinanziate nell’ambito del PR Sicilia FESR 21-27, ovvero</w:t>
      </w:r>
      <w:r>
        <w:rPr>
          <w:spacing w:val="37"/>
        </w:rPr>
        <w:t xml:space="preserve"> </w:t>
      </w:r>
      <w:r>
        <w:t xml:space="preserve">di</w:t>
      </w:r>
      <w:r>
        <w:rPr>
          <w:spacing w:val="37"/>
        </w:rPr>
        <w:t xml:space="preserve"> </w:t>
      </w:r>
      <w:r>
        <w:t xml:space="preserve">cofinanziamento</w:t>
      </w:r>
      <w:r>
        <w:rPr>
          <w:spacing w:val="37"/>
        </w:rPr>
        <w:t xml:space="preserve"> </w:t>
      </w:r>
      <w:r>
        <w:t xml:space="preserve">dell’operazione</w:t>
      </w:r>
      <w:r>
        <w:rPr>
          <w:spacing w:val="37"/>
        </w:rPr>
        <w:t xml:space="preserve"> </w:t>
      </w:r>
      <w:r>
        <w:t xml:space="preserve">con</w:t>
      </w:r>
      <w:r>
        <w:rPr>
          <w:spacing w:val="37"/>
        </w:rPr>
        <w:t xml:space="preserve"> </w:t>
      </w:r>
      <w:r>
        <w:t xml:space="preserve">ulteriori</w:t>
      </w:r>
      <w:r>
        <w:rPr>
          <w:spacing w:val="37"/>
        </w:rPr>
        <w:t xml:space="preserve"> </w:t>
      </w:r>
      <w:r>
        <w:t xml:space="preserve">fonti</w:t>
      </w:r>
      <w:r>
        <w:rPr>
          <w:spacing w:val="37"/>
        </w:rPr>
        <w:t xml:space="preserve"> </w:t>
      </w:r>
      <w:r>
        <w:t xml:space="preserve">finanziarie,</w:t>
      </w:r>
      <w:r>
        <w:rPr>
          <w:spacing w:val="37"/>
        </w:rPr>
        <w:t xml:space="preserve"> </w:t>
      </w:r>
      <w:r>
        <w:t xml:space="preserve">di</w:t>
      </w:r>
      <w:r>
        <w:rPr>
          <w:spacing w:val="37"/>
        </w:rPr>
        <w:t xml:space="preserve"> </w:t>
      </w:r>
      <w:r>
        <w:t xml:space="preserve">documenti</w:t>
      </w:r>
      <w:r>
        <w:rPr>
          <w:spacing w:val="37"/>
        </w:rPr>
        <w:t xml:space="preserve"> </w:t>
      </w:r>
      <w:r>
        <w:t xml:space="preserve">di</w:t>
      </w:r>
      <w:r>
        <w:rPr>
          <w:spacing w:val="37"/>
        </w:rPr>
        <w:t xml:space="preserve"> </w:t>
      </w:r>
      <w:r>
        <w:t xml:space="preserve">spesa</w:t>
      </w:r>
      <w:r/>
    </w:p>
    <w:p>
      <w:pPr>
        <w:pStyle w:val="998"/>
        <w:pBdr/>
        <w:spacing/>
        <w:ind/>
        <w:rPr/>
        <w:sectPr>
          <w:footnotePr/>
          <w:endnotePr/>
          <w:type w:val="nextPage"/>
          <w:pgSz w:h="16840" w:orient="portrait" w:w="11910"/>
          <w:pgMar w:top="1720" w:right="992" w:bottom="880" w:left="992" w:header="735" w:footer="682" w:gutter="0"/>
          <w:cols w:num="1" w:sep="0" w:space="1701" w:equalWidth="1"/>
        </w:sectPr>
      </w:pPr>
      <w:r/>
      <w:r/>
    </w:p>
    <w:p>
      <w:pPr>
        <w:pStyle w:val="997"/>
        <w:pBdr/>
        <w:spacing w:before="45"/>
        <w:ind/>
        <w:rPr/>
      </w:pPr>
      <w:r/>
      <w:r/>
    </w:p>
    <w:p>
      <w:pPr>
        <w:pStyle w:val="997"/>
        <w:pBdr/>
        <w:spacing/>
        <w:ind w:right="147" w:left="861"/>
        <w:jc w:val="both"/>
        <w:rPr/>
      </w:pPr>
      <w:r>
        <w:t xml:space="preserve">distinti,</w:t>
      </w:r>
      <w:r>
        <w:rPr>
          <w:spacing w:val="-1"/>
        </w:rPr>
        <w:t xml:space="preserve"> </w:t>
      </w:r>
      <w:r>
        <w:t xml:space="preserve">ovvero</w:t>
      </w:r>
      <w:r>
        <w:rPr>
          <w:spacing w:val="-1"/>
        </w:rPr>
        <w:t xml:space="preserve"> </w:t>
      </w:r>
      <w:r>
        <w:t xml:space="preserve">la</w:t>
      </w:r>
      <w:r>
        <w:rPr>
          <w:spacing w:val="-1"/>
        </w:rPr>
        <w:t xml:space="preserve"> </w:t>
      </w:r>
      <w:r>
        <w:t xml:space="preserve">chiara</w:t>
      </w:r>
      <w:r>
        <w:rPr>
          <w:spacing w:val="-1"/>
        </w:rPr>
        <w:t xml:space="preserve"> </w:t>
      </w:r>
      <w:r>
        <w:t xml:space="preserve">imputazione</w:t>
      </w:r>
      <w:r>
        <w:rPr>
          <w:spacing w:val="-1"/>
        </w:rPr>
        <w:t xml:space="preserve"> </w:t>
      </w:r>
      <w:r>
        <w:t xml:space="preserve">della</w:t>
      </w:r>
      <w:r>
        <w:rPr>
          <w:spacing w:val="-1"/>
        </w:rPr>
        <w:t xml:space="preserve"> </w:t>
      </w:r>
      <w:r>
        <w:t xml:space="preserve">quota</w:t>
      </w:r>
      <w:r>
        <w:rPr>
          <w:spacing w:val="-1"/>
        </w:rPr>
        <w:t xml:space="preserve"> </w:t>
      </w:r>
      <w:r>
        <w:t xml:space="preserve">di</w:t>
      </w:r>
      <w:r>
        <w:rPr>
          <w:spacing w:val="-1"/>
        </w:rPr>
        <w:t xml:space="preserve"> </w:t>
      </w:r>
      <w:r>
        <w:t xml:space="preserve">spesa</w:t>
      </w:r>
      <w:r>
        <w:rPr>
          <w:spacing w:val="-1"/>
        </w:rPr>
        <w:t xml:space="preserve"> </w:t>
      </w:r>
      <w:r>
        <w:t xml:space="preserve">corrispondente</w:t>
      </w:r>
      <w:r>
        <w:rPr>
          <w:spacing w:val="-1"/>
        </w:rPr>
        <w:t xml:space="preserve"> </w:t>
      </w:r>
      <w:r>
        <w:t xml:space="preserve">a</w:t>
      </w:r>
      <w:r>
        <w:rPr>
          <w:spacing w:val="-1"/>
        </w:rPr>
        <w:t xml:space="preserve"> </w:t>
      </w:r>
      <w:r>
        <w:t xml:space="preserve">ciascuna</w:t>
      </w:r>
      <w:r>
        <w:rPr>
          <w:spacing w:val="-1"/>
        </w:rPr>
        <w:t xml:space="preserve"> </w:t>
      </w:r>
      <w:r>
        <w:t xml:space="preserve">operazione</w:t>
      </w:r>
      <w:r>
        <w:rPr>
          <w:spacing w:val="-1"/>
        </w:rPr>
        <w:t xml:space="preserve"> </w:t>
      </w:r>
      <w:r>
        <w:t xml:space="preserve">o</w:t>
      </w:r>
      <w:r>
        <w:rPr>
          <w:spacing w:val="-1"/>
        </w:rPr>
        <w:t xml:space="preserve"> </w:t>
      </w:r>
      <w:r>
        <w:t xml:space="preserve">a ciascuna fonte finanziaria;</w:t>
      </w:r>
      <w:r/>
    </w:p>
    <w:p>
      <w:pPr>
        <w:pStyle w:val="998"/>
        <w:numPr>
          <w:ilvl w:val="1"/>
          <w:numId w:val="17"/>
        </w:numPr>
        <w:pBdr/>
        <w:tabs>
          <w:tab w:val="left" w:leader="none" w:pos="859"/>
          <w:tab w:val="left" w:leader="none" w:pos="861"/>
        </w:tabs>
        <w:spacing/>
        <w:ind w:right="147" w:left="861"/>
        <w:rPr/>
      </w:pPr>
      <w:r>
        <w:t xml:space="preserve">l’inoltro al CdR concedente della documentazione inerente all’operazione cofinanziata in formato digitale secondo le indicazioni riportate nel Manuale di Attuazione PR Sicilia FESR 21-27 e, nell’avviso di selezione dell’operazione;</w:t>
      </w:r>
      <w:r/>
    </w:p>
    <w:p>
      <w:pPr>
        <w:pStyle w:val="998"/>
        <w:numPr>
          <w:ilvl w:val="1"/>
          <w:numId w:val="17"/>
        </w:numPr>
        <w:pBdr/>
        <w:tabs>
          <w:tab w:val="left" w:leader="none" w:pos="859"/>
          <w:tab w:val="left" w:leader="none" w:pos="861"/>
        </w:tabs>
        <w:spacing/>
        <w:ind w:right="150" w:left="861"/>
        <w:rPr/>
      </w:pPr>
      <w:r>
        <w:t xml:space="preserve">la conservazione della documentazione relativa all’operazione secondo quanto stabilito dall’art. 82 del Regolamento (UE) n. 1060/2021;</w:t>
      </w:r>
      <w:r/>
    </w:p>
    <w:p>
      <w:pPr>
        <w:pStyle w:val="998"/>
        <w:numPr>
          <w:ilvl w:val="1"/>
          <w:numId w:val="17"/>
        </w:numPr>
        <w:pBdr/>
        <w:tabs>
          <w:tab w:val="left" w:leader="none" w:pos="861"/>
        </w:tabs>
        <w:spacing/>
        <w:ind w:right="149" w:left="861"/>
        <w:rPr/>
      </w:pPr>
      <w:r>
        <w:t xml:space="preserve">il rispetto e l’applicazione delle norme in materia di informazione e pubblicità del finanziamento</w:t>
      </w:r>
      <w:r>
        <w:rPr>
          <w:spacing w:val="40"/>
        </w:rPr>
        <w:t xml:space="preserve"> </w:t>
      </w:r>
      <w:r>
        <w:t xml:space="preserve">con Fondi per la politica di coesione 2021-2027 dell’Operazione;</w:t>
      </w:r>
      <w:r/>
    </w:p>
    <w:p>
      <w:pPr>
        <w:pStyle w:val="998"/>
        <w:numPr>
          <w:ilvl w:val="1"/>
          <w:numId w:val="17"/>
        </w:numPr>
        <w:pBdr/>
        <w:tabs>
          <w:tab w:val="left" w:leader="none" w:pos="859"/>
        </w:tabs>
        <w:spacing/>
        <w:ind w:hanging="358" w:left="859"/>
        <w:rPr/>
      </w:pPr>
      <w:r>
        <w:t xml:space="preserve">la</w:t>
      </w:r>
      <w:r>
        <w:rPr>
          <w:spacing w:val="-4"/>
        </w:rPr>
        <w:t xml:space="preserve"> </w:t>
      </w:r>
      <w:r>
        <w:t xml:space="preserve">stabilità</w:t>
      </w:r>
      <w:r>
        <w:rPr>
          <w:spacing w:val="-4"/>
        </w:rPr>
        <w:t xml:space="preserve"> </w:t>
      </w:r>
      <w:r>
        <w:t xml:space="preserve">dell’operazione</w:t>
      </w:r>
      <w:r>
        <w:rPr>
          <w:spacing w:val="-3"/>
        </w:rPr>
        <w:t xml:space="preserve"> </w:t>
      </w:r>
      <w:r>
        <w:t xml:space="preserve">ai</w:t>
      </w:r>
      <w:r>
        <w:rPr>
          <w:spacing w:val="-4"/>
        </w:rPr>
        <w:t xml:space="preserve"> </w:t>
      </w:r>
      <w:r>
        <w:t xml:space="preserve">sensi</w:t>
      </w:r>
      <w:r>
        <w:rPr>
          <w:spacing w:val="-4"/>
        </w:rPr>
        <w:t xml:space="preserve"> </w:t>
      </w:r>
      <w:r>
        <w:t xml:space="preserve">e</w:t>
      </w:r>
      <w:r>
        <w:rPr>
          <w:spacing w:val="-3"/>
        </w:rPr>
        <w:t xml:space="preserve"> </w:t>
      </w:r>
      <w:r>
        <w:t xml:space="preserve">per</w:t>
      </w:r>
      <w:r>
        <w:rPr>
          <w:spacing w:val="-4"/>
        </w:rPr>
        <w:t xml:space="preserve"> </w:t>
      </w:r>
      <w:r>
        <w:t xml:space="preserve">gli</w:t>
      </w:r>
      <w:r>
        <w:rPr>
          <w:spacing w:val="-4"/>
        </w:rPr>
        <w:t xml:space="preserve"> </w:t>
      </w:r>
      <w:r>
        <w:t xml:space="preserve">effetti</w:t>
      </w:r>
      <w:r>
        <w:rPr>
          <w:spacing w:val="-3"/>
        </w:rPr>
        <w:t xml:space="preserve"> </w:t>
      </w:r>
      <w:r>
        <w:t xml:space="preserve">dell’art.</w:t>
      </w:r>
      <w:r>
        <w:rPr>
          <w:spacing w:val="-4"/>
        </w:rPr>
        <w:t xml:space="preserve"> </w:t>
      </w:r>
      <w:r>
        <w:t xml:space="preserve">65</w:t>
      </w:r>
      <w:r>
        <w:rPr>
          <w:spacing w:val="-4"/>
        </w:rPr>
        <w:t xml:space="preserve"> </w:t>
      </w:r>
      <w:r>
        <w:t xml:space="preserve">del</w:t>
      </w:r>
      <w:r>
        <w:rPr>
          <w:spacing w:val="-3"/>
        </w:rPr>
        <w:t xml:space="preserve"> </w:t>
      </w:r>
      <w:r>
        <w:t xml:space="preserve">Regolamento</w:t>
      </w:r>
      <w:r>
        <w:rPr>
          <w:spacing w:val="-4"/>
        </w:rPr>
        <w:t xml:space="preserve"> </w:t>
      </w:r>
      <w:r>
        <w:t xml:space="preserve">(UE)</w:t>
      </w:r>
      <w:r>
        <w:rPr>
          <w:spacing w:val="-4"/>
        </w:rPr>
        <w:t xml:space="preserve"> </w:t>
      </w:r>
      <w:r>
        <w:t xml:space="preserve">n.</w:t>
      </w:r>
      <w:r>
        <w:rPr>
          <w:spacing w:val="-3"/>
        </w:rPr>
        <w:t xml:space="preserve"> </w:t>
      </w:r>
      <w:r>
        <w:rPr>
          <w:spacing w:val="-2"/>
        </w:rPr>
        <w:t xml:space="preserve">1060/2021;</w:t>
      </w:r>
      <w:r/>
    </w:p>
    <w:p>
      <w:pPr>
        <w:pStyle w:val="998"/>
        <w:numPr>
          <w:ilvl w:val="1"/>
          <w:numId w:val="17"/>
        </w:numPr>
        <w:pBdr/>
        <w:tabs>
          <w:tab w:val="left" w:leader="none" w:pos="859"/>
          <w:tab w:val="left" w:leader="none" w:pos="861"/>
        </w:tabs>
        <w:spacing/>
        <w:ind w:right="148" w:left="861"/>
        <w:rPr/>
      </w:pPr>
      <w:r>
        <w:t xml:space="preserve">il corretto adempimento </w:t>
      </w:r>
      <w:r>
        <w:t xml:space="preserve">di tutte le prestazioni e obblighi in capo al Beneficiario come previsti dai Regolamenti comunitari richiamati nelle Premesse e dal Manuale di Attuazione del PR FESR Sicilia21/27, anche nelle versioni aggiornate successivamente alla stipula della presente </w:t>
      </w:r>
      <w:r>
        <w:rPr>
          <w:spacing w:val="-2"/>
        </w:rPr>
        <w:t xml:space="preserve">Convenzione;</w:t>
      </w:r>
      <w:r/>
    </w:p>
    <w:p>
      <w:pPr>
        <w:pStyle w:val="998"/>
        <w:numPr>
          <w:ilvl w:val="1"/>
          <w:numId w:val="17"/>
        </w:numPr>
        <w:pBdr/>
        <w:tabs>
          <w:tab w:val="left" w:leader="none" w:pos="859"/>
          <w:tab w:val="left" w:leader="none" w:pos="861"/>
        </w:tabs>
        <w:spacing/>
        <w:ind w:right="147" w:left="861"/>
        <w:rPr/>
      </w:pPr>
      <w:r>
        <w:t xml:space="preserve">applicare e rispettare le norme in materia di contrasto al lavoro non regolare, anche attraverso specifiche disposizioni inserite nei bandi di gara per l’affidamento delle attività a terzi;</w:t>
      </w:r>
      <w:r/>
    </w:p>
    <w:p>
      <w:pPr>
        <w:pStyle w:val="998"/>
        <w:numPr>
          <w:ilvl w:val="1"/>
          <w:numId w:val="17"/>
        </w:numPr>
        <w:pBdr/>
        <w:tabs>
          <w:tab w:val="left" w:leader="none" w:pos="859"/>
          <w:tab w:val="left" w:leader="none" w:pos="861"/>
        </w:tabs>
        <w:spacing/>
        <w:ind w:right="147" w:left="861"/>
        <w:rPr/>
      </w:pPr>
      <w:r>
        <w:t xml:space="preserve">applicare e rispettare le disposizioni di cui alla </w:t>
      </w:r>
      <w:r>
        <w:t xml:space="preserve">legge regionale n. 10/1991 e s.m.i., nonché le altre disposizioni nazionali e regionali in materia fiscale, di trasparenza dell’azione amministrativa, di tracciabilità dei pagamenti, di contrasto alla criminalità organizzata e di anticorruzione ex lege n. </w:t>
      </w:r>
      <w:r>
        <w:rPr>
          <w:spacing w:val="-2"/>
        </w:rPr>
        <w:t xml:space="preserve">190/2010;</w:t>
      </w:r>
      <w:r/>
    </w:p>
    <w:p>
      <w:pPr>
        <w:pStyle w:val="998"/>
        <w:numPr>
          <w:ilvl w:val="1"/>
          <w:numId w:val="17"/>
        </w:numPr>
        <w:pBdr/>
        <w:tabs>
          <w:tab w:val="left" w:leader="none" w:pos="859"/>
        </w:tabs>
        <w:spacing/>
        <w:ind w:hanging="358" w:left="859"/>
        <w:rPr/>
      </w:pPr>
      <w:r>
        <w:t xml:space="preserve">garantire</w:t>
      </w:r>
      <w:r>
        <w:rPr>
          <w:spacing w:val="-7"/>
        </w:rPr>
        <w:t xml:space="preserve"> </w:t>
      </w:r>
      <w:r>
        <w:t xml:space="preserve">la</w:t>
      </w:r>
      <w:r>
        <w:rPr>
          <w:spacing w:val="-4"/>
        </w:rPr>
        <w:t xml:space="preserve"> </w:t>
      </w:r>
      <w:r>
        <w:t xml:space="preserve">capacità</w:t>
      </w:r>
      <w:r>
        <w:rPr>
          <w:spacing w:val="-4"/>
        </w:rPr>
        <w:t xml:space="preserve"> </w:t>
      </w:r>
      <w:r>
        <w:t xml:space="preserve">finanziaria</w:t>
      </w:r>
      <w:r>
        <w:rPr>
          <w:spacing w:val="-4"/>
        </w:rPr>
        <w:t xml:space="preserve"> </w:t>
      </w:r>
      <w:r>
        <w:t xml:space="preserve">per</w:t>
      </w:r>
      <w:r>
        <w:rPr>
          <w:spacing w:val="-4"/>
        </w:rPr>
        <w:t xml:space="preserve"> </w:t>
      </w:r>
      <w:r>
        <w:t xml:space="preserve">la</w:t>
      </w:r>
      <w:r>
        <w:rPr>
          <w:spacing w:val="-4"/>
        </w:rPr>
        <w:t xml:space="preserve"> </w:t>
      </w:r>
      <w:r>
        <w:t xml:space="preserve">realizzazione</w:t>
      </w:r>
      <w:r>
        <w:rPr>
          <w:spacing w:val="-4"/>
        </w:rPr>
        <w:t xml:space="preserve"> </w:t>
      </w:r>
      <w:r>
        <w:t xml:space="preserve">dell’operazione</w:t>
      </w:r>
      <w:r>
        <w:rPr>
          <w:spacing w:val="-5"/>
        </w:rPr>
        <w:t xml:space="preserve"> </w:t>
      </w:r>
      <w:r>
        <w:t xml:space="preserve">di</w:t>
      </w:r>
      <w:r>
        <w:rPr>
          <w:spacing w:val="-4"/>
        </w:rPr>
        <w:t xml:space="preserve"> </w:t>
      </w:r>
      <w:r>
        <w:t xml:space="preserve">cui</w:t>
      </w:r>
      <w:r>
        <w:rPr>
          <w:spacing w:val="-4"/>
        </w:rPr>
        <w:t xml:space="preserve"> </w:t>
      </w:r>
      <w:r>
        <w:t xml:space="preserve">all’art.</w:t>
      </w:r>
      <w:r>
        <w:rPr>
          <w:spacing w:val="-4"/>
        </w:rPr>
        <w:t xml:space="preserve"> </w:t>
      </w:r>
      <w:r>
        <w:t xml:space="preserve">73</w:t>
      </w:r>
      <w:r>
        <w:rPr>
          <w:spacing w:val="-4"/>
        </w:rPr>
        <w:t xml:space="preserve"> </w:t>
      </w:r>
      <w:r>
        <w:t xml:space="preserve">(2)(d)</w:t>
      </w:r>
      <w:r>
        <w:rPr>
          <w:spacing w:val="-4"/>
        </w:rPr>
        <w:t xml:space="preserve"> </w:t>
      </w:r>
      <w:r>
        <w:t xml:space="preserve">del</w:t>
      </w:r>
      <w:r>
        <w:rPr>
          <w:spacing w:val="-4"/>
        </w:rPr>
        <w:t xml:space="preserve"> CPR;</w:t>
      </w:r>
      <w:r/>
    </w:p>
    <w:p>
      <w:pPr>
        <w:pStyle w:val="998"/>
        <w:numPr>
          <w:ilvl w:val="1"/>
          <w:numId w:val="17"/>
        </w:numPr>
        <w:pBdr/>
        <w:tabs>
          <w:tab w:val="left" w:leader="none" w:pos="859"/>
        </w:tabs>
        <w:spacing/>
        <w:ind w:hanging="358" w:left="859"/>
        <w:rPr/>
      </w:pPr>
      <w:r>
        <w:t xml:space="preserve">consentire</w:t>
      </w:r>
      <w:r>
        <w:rPr>
          <w:spacing w:val="-7"/>
        </w:rPr>
        <w:t xml:space="preserve"> </w:t>
      </w:r>
      <w:r>
        <w:t xml:space="preserve">le</w:t>
      </w:r>
      <w:r>
        <w:rPr>
          <w:spacing w:val="-4"/>
        </w:rPr>
        <w:t xml:space="preserve"> </w:t>
      </w:r>
      <w:r>
        <w:t xml:space="preserve">verifiche</w:t>
      </w:r>
      <w:r>
        <w:rPr>
          <w:spacing w:val="-5"/>
        </w:rPr>
        <w:t xml:space="preserve"> </w:t>
      </w:r>
      <w:r>
        <w:t xml:space="preserve">in</w:t>
      </w:r>
      <w:r>
        <w:rPr>
          <w:spacing w:val="-4"/>
        </w:rPr>
        <w:t xml:space="preserve"> </w:t>
      </w:r>
      <w:r>
        <w:t xml:space="preserve">loco,</w:t>
      </w:r>
      <w:r>
        <w:rPr>
          <w:spacing w:val="-4"/>
        </w:rPr>
        <w:t xml:space="preserve"> </w:t>
      </w:r>
      <w:r>
        <w:t xml:space="preserve">a</w:t>
      </w:r>
      <w:r>
        <w:rPr>
          <w:spacing w:val="-5"/>
        </w:rPr>
        <w:t xml:space="preserve"> </w:t>
      </w:r>
      <w:r>
        <w:t xml:space="preserve">favore</w:t>
      </w:r>
      <w:r>
        <w:rPr>
          <w:spacing w:val="-4"/>
        </w:rPr>
        <w:t xml:space="preserve"> </w:t>
      </w:r>
      <w:r>
        <w:t xml:space="preserve">delle</w:t>
      </w:r>
      <w:r>
        <w:rPr>
          <w:spacing w:val="-4"/>
        </w:rPr>
        <w:t xml:space="preserve"> </w:t>
      </w:r>
      <w:r>
        <w:t xml:space="preserve">autorità</w:t>
      </w:r>
      <w:r>
        <w:rPr>
          <w:spacing w:val="-5"/>
        </w:rPr>
        <w:t xml:space="preserve"> </w:t>
      </w:r>
      <w:r>
        <w:t xml:space="preserve">di</w:t>
      </w:r>
      <w:r>
        <w:rPr>
          <w:spacing w:val="-4"/>
        </w:rPr>
        <w:t xml:space="preserve"> </w:t>
      </w:r>
      <w:r>
        <w:t xml:space="preserve">controllo</w:t>
      </w:r>
      <w:r>
        <w:rPr>
          <w:spacing w:val="-4"/>
        </w:rPr>
        <w:t xml:space="preserve"> </w:t>
      </w:r>
      <w:r>
        <w:t xml:space="preserve">regionali,</w:t>
      </w:r>
      <w:r>
        <w:rPr>
          <w:spacing w:val="-5"/>
        </w:rPr>
        <w:t xml:space="preserve"> </w:t>
      </w:r>
      <w:r>
        <w:t xml:space="preserve">nazionali</w:t>
      </w:r>
      <w:r>
        <w:rPr>
          <w:spacing w:val="-4"/>
        </w:rPr>
        <w:t xml:space="preserve"> </w:t>
      </w:r>
      <w:r>
        <w:t xml:space="preserve">e</w:t>
      </w:r>
      <w:r>
        <w:rPr>
          <w:spacing w:val="-4"/>
        </w:rPr>
        <w:t xml:space="preserve"> </w:t>
      </w:r>
      <w:r>
        <w:rPr>
          <w:spacing w:val="-2"/>
        </w:rPr>
        <w:t xml:space="preserve">comunitarie;</w:t>
      </w:r>
      <w:r/>
    </w:p>
    <w:p>
      <w:pPr>
        <w:pStyle w:val="998"/>
        <w:numPr>
          <w:ilvl w:val="1"/>
          <w:numId w:val="17"/>
        </w:numPr>
        <w:pBdr/>
        <w:tabs>
          <w:tab w:val="left" w:leader="none" w:pos="858"/>
          <w:tab w:val="left" w:leader="none" w:pos="861"/>
        </w:tabs>
        <w:spacing/>
        <w:ind w:right="149" w:left="861"/>
        <w:rPr/>
      </w:pPr>
      <w:r>
        <w:t xml:space="preserve">assicurare che l’Operazione sia completata, in uso e funzionante entro il termine previsto nel cronoprogramma di cui al paragrafo 6 dell’Allegato al presente Disciplinare;</w:t>
      </w:r>
      <w:r/>
    </w:p>
    <w:p>
      <w:pPr>
        <w:pStyle w:val="998"/>
        <w:numPr>
          <w:ilvl w:val="1"/>
          <w:numId w:val="17"/>
        </w:numPr>
        <w:pBdr/>
        <w:tabs>
          <w:tab w:val="left" w:leader="none" w:pos="858"/>
          <w:tab w:val="left" w:leader="none" w:pos="861"/>
        </w:tabs>
        <w:spacing/>
        <w:ind w:right="149" w:left="861"/>
        <w:rPr/>
      </w:pPr>
      <w:r>
        <w:t xml:space="preserve">dare tempestiva informazione circa l’insorgere di eventuali procedure amministrative o giudiziarie concernenti l’Operazione.</w:t>
      </w:r>
      <w:r/>
    </w:p>
    <w:p>
      <w:pPr>
        <w:pStyle w:val="997"/>
        <w:pBdr/>
        <w:spacing/>
        <w:ind/>
        <w:rPr/>
      </w:pPr>
      <w:r/>
      <w:r/>
    </w:p>
    <w:p>
      <w:pPr>
        <w:pStyle w:val="997"/>
        <w:pBdr/>
        <w:spacing/>
        <w:ind/>
        <w:rPr/>
      </w:pPr>
      <w:r/>
      <w:r/>
    </w:p>
    <w:p>
      <w:pPr>
        <w:pStyle w:val="997"/>
        <w:pBdr/>
        <w:spacing/>
        <w:ind w:left="3103"/>
        <w:jc w:val="both"/>
        <w:rPr/>
      </w:pPr>
      <w:r>
        <w:rPr>
          <w:color w:val="2d73b4"/>
          <w:spacing w:val="-2"/>
        </w:rPr>
        <w:t xml:space="preserve">Art.</w:t>
      </w:r>
      <w:r>
        <w:rPr>
          <w:color w:val="2d73b4"/>
          <w:spacing w:val="-5"/>
        </w:rPr>
        <w:t xml:space="preserve"> </w:t>
      </w:r>
      <w:r>
        <w:rPr>
          <w:color w:val="2d73b4"/>
          <w:spacing w:val="-2"/>
        </w:rPr>
        <w:t xml:space="preserve">3</w:t>
      </w:r>
      <w:r>
        <w:rPr>
          <w:color w:val="2d73b4"/>
          <w:spacing w:val="-4"/>
        </w:rPr>
        <w:t xml:space="preserve"> </w:t>
      </w:r>
      <w:r>
        <w:rPr>
          <w:color w:val="2d73b4"/>
          <w:spacing w:val="-2"/>
        </w:rPr>
        <w:t xml:space="preserve">–</w:t>
      </w:r>
      <w:r>
        <w:rPr>
          <w:color w:val="2d73b4"/>
          <w:spacing w:val="-5"/>
        </w:rPr>
        <w:t xml:space="preserve"> </w:t>
      </w:r>
      <w:r>
        <w:rPr>
          <w:color w:val="2d73b4"/>
          <w:spacing w:val="-2"/>
        </w:rPr>
        <w:t xml:space="preserve">Cronoprogramma</w:t>
      </w:r>
      <w:r>
        <w:rPr>
          <w:color w:val="2d73b4"/>
          <w:spacing w:val="-4"/>
        </w:rPr>
        <w:t xml:space="preserve"> </w:t>
      </w:r>
      <w:r>
        <w:rPr>
          <w:color w:val="2d73b4"/>
          <w:spacing w:val="-2"/>
        </w:rPr>
        <w:t xml:space="preserve">dell’Operazione</w:t>
      </w:r>
      <w:r/>
    </w:p>
    <w:p>
      <w:pPr>
        <w:pStyle w:val="998"/>
        <w:numPr>
          <w:ilvl w:val="0"/>
          <w:numId w:val="16"/>
        </w:numPr>
        <w:pBdr/>
        <w:tabs>
          <w:tab w:val="left" w:leader="none" w:pos="499"/>
          <w:tab w:val="left" w:leader="none" w:pos="501"/>
        </w:tabs>
        <w:spacing/>
        <w:ind w:right="146" w:left="501"/>
        <w:rPr/>
      </w:pPr>
      <w:r>
        <w:t xml:space="preserve">Nell’attuazione dell’Operazione il Beneficiario si impegna al rispetto del cronoprogramma di cui al paragrafo 6 dell’Allegato al presente Disciplinare.</w:t>
      </w:r>
      <w:r/>
    </w:p>
    <w:p>
      <w:pPr>
        <w:pStyle w:val="998"/>
        <w:numPr>
          <w:ilvl w:val="0"/>
          <w:numId w:val="16"/>
        </w:numPr>
        <w:pBdr/>
        <w:tabs>
          <w:tab w:val="left" w:leader="none" w:pos="499"/>
          <w:tab w:val="left" w:leader="none" w:pos="501"/>
        </w:tabs>
        <w:spacing/>
        <w:ind w:right="145" w:left="501"/>
        <w:rPr/>
      </w:pPr>
      <w:r>
        <w:t xml:space="preserve">Nel caso in cui il mancato rispetto dei termini temporali</w:t>
      </w:r>
      <w:r>
        <w:rPr>
          <w:spacing w:val="40"/>
        </w:rPr>
        <w:t xml:space="preserve"> </w:t>
      </w:r>
      <w:r>
        <w:t xml:space="preserve">per ciascuna delle singole fasi di attu</w:t>
      </w:r>
      <w:r>
        <w:t xml:space="preserve">azione dell’Operazione indicati nel paragrafo 6 dell’Allegato al presente Disciplinare, così come riveniente dal sistema di monitoraggio economico, finanziario, fisico e procedurale Caronte o comunque accertato dalla Regione, non consenta di completare l’O</w:t>
      </w:r>
      <w:r>
        <w:t xml:space="preserve">perazione entro il termine previsto nel medesimo cronoprogramma, la Regione avvia il procedimento di revoca del contributo finanziario concesso, salvo che, ricorrendo comunque le condizioni di cui al successivo comma 3, il ritardo dipenda da causa di forza</w:t>
      </w:r>
      <w:r>
        <w:rPr>
          <w:spacing w:val="28"/>
        </w:rPr>
        <w:t xml:space="preserve"> </w:t>
      </w:r>
      <w:r>
        <w:t xml:space="preserve">maggiore</w:t>
      </w:r>
      <w:r>
        <w:rPr>
          <w:spacing w:val="34"/>
        </w:rPr>
        <w:t xml:space="preserve"> </w:t>
      </w:r>
      <w:r>
        <w:t xml:space="preserve">comprovata,</w:t>
      </w:r>
      <w:r>
        <w:rPr>
          <w:spacing w:val="34"/>
        </w:rPr>
        <w:t xml:space="preserve"> </w:t>
      </w:r>
      <w:r>
        <w:t xml:space="preserve">da</w:t>
      </w:r>
      <w:r>
        <w:rPr>
          <w:spacing w:val="34"/>
        </w:rPr>
        <w:t xml:space="preserve"> </w:t>
      </w:r>
      <w:r>
        <w:t xml:space="preserve">dimostrarsi</w:t>
      </w:r>
      <w:r>
        <w:rPr>
          <w:spacing w:val="34"/>
        </w:rPr>
        <w:t xml:space="preserve"> </w:t>
      </w:r>
      <w:r>
        <w:t xml:space="preserve">dal</w:t>
      </w:r>
      <w:r>
        <w:rPr>
          <w:spacing w:val="34"/>
        </w:rPr>
        <w:t xml:space="preserve"> </w:t>
      </w:r>
      <w:r>
        <w:t xml:space="preserve">Beneficiario</w:t>
      </w:r>
      <w:r>
        <w:rPr>
          <w:spacing w:val="34"/>
        </w:rPr>
        <w:t xml:space="preserve"> </w:t>
      </w:r>
      <w:r>
        <w:t xml:space="preserve">entro</w:t>
      </w:r>
      <w:r>
        <w:rPr>
          <w:spacing w:val="34"/>
        </w:rPr>
        <w:t xml:space="preserve"> </w:t>
      </w:r>
      <w:r>
        <w:rPr>
          <w:rFonts w:ascii="Times New Roman" w:hAnsi="Times New Roman"/>
          <w:spacing w:val="80"/>
          <w:u w:val="single"/>
        </w:rPr>
        <w:t xml:space="preserve">  </w:t>
      </w:r>
      <w:r>
        <w:rPr>
          <w:rFonts w:ascii="Times New Roman" w:hAnsi="Times New Roman"/>
          <w:spacing w:val="-42"/>
        </w:rPr>
        <w:t xml:space="preserve"> </w:t>
      </w:r>
      <w:r>
        <w:t xml:space="preserve">(</w:t>
      </w:r>
      <w:r>
        <w:rPr>
          <w:rFonts w:ascii="Times New Roman" w:hAnsi="Times New Roman"/>
          <w:spacing w:val="80"/>
          <w:u w:val="single"/>
        </w:rPr>
        <w:t xml:space="preserve">   </w:t>
      </w:r>
      <w:r>
        <w:t xml:space="preserve">)</w:t>
      </w:r>
      <w:r>
        <w:rPr>
          <w:spacing w:val="34"/>
        </w:rPr>
        <w:t xml:space="preserve"> </w:t>
      </w:r>
      <w:r>
        <w:t xml:space="preserve">giorni</w:t>
      </w:r>
      <w:r>
        <w:rPr>
          <w:spacing w:val="34"/>
        </w:rPr>
        <w:t xml:space="preserve"> </w:t>
      </w:r>
      <w:r>
        <w:t xml:space="preserve">dalla</w:t>
      </w:r>
      <w:r>
        <w:rPr>
          <w:spacing w:val="34"/>
        </w:rPr>
        <w:t xml:space="preserve"> </w:t>
      </w:r>
      <w:r>
        <w:t xml:space="preserve">ricezione della comunicazione di avvio del procedimento di revoca del contributo finanziario concesso.</w:t>
      </w:r>
      <w:r/>
    </w:p>
    <w:p>
      <w:pPr>
        <w:pStyle w:val="998"/>
        <w:numPr>
          <w:ilvl w:val="0"/>
          <w:numId w:val="16"/>
        </w:numPr>
        <w:pBdr/>
        <w:tabs>
          <w:tab w:val="left" w:leader="none" w:pos="499"/>
          <w:tab w:val="left" w:leader="none" w:pos="501"/>
        </w:tabs>
        <w:spacing/>
        <w:ind w:right="146" w:left="501"/>
        <w:rPr/>
      </w:pPr>
      <w:r>
        <w:t xml:space="preserve">Nel caso in cui il ritardo di cui al precedente comma 2 dipenda da causa d</w:t>
      </w:r>
      <w:r>
        <w:t xml:space="preserve">i forza maggiore comprovata, la Regione potrà consentire, su richiesta del Beneficiario e per singola fase, una proroga per non più di una volta dei termini stabiliti, ove possa ragionevolmente ritenersi che l'Operazione sia comunque destinata a essere com</w:t>
      </w:r>
      <w:r>
        <w:t xml:space="preserve">pletata, entrare in uso e funzionante con un ritardo complessivamente non superiore a 12 (dodici) mesi rispetto al termine originariamente previsto dal cronoprogramma dell’Operazione di cui al paragrafo 6 dell’Allegato al presente Disciplinare e sempreché:</w:t>
      </w:r>
      <w:r/>
    </w:p>
    <w:p>
      <w:pPr>
        <w:pStyle w:val="998"/>
        <w:numPr>
          <w:ilvl w:val="1"/>
          <w:numId w:val="16"/>
        </w:numPr>
        <w:pBdr/>
        <w:tabs>
          <w:tab w:val="left" w:leader="none" w:pos="861"/>
          <w:tab w:val="left" w:leader="none" w:pos="908"/>
        </w:tabs>
        <w:spacing/>
        <w:ind w:right="150" w:hanging="360" w:left="861"/>
        <w:rPr/>
      </w:pPr>
      <w:r>
        <w:t xml:space="preserve">il</w:t>
      </w:r>
      <w:r>
        <w:rPr>
          <w:spacing w:val="40"/>
        </w:rPr>
        <w:t xml:space="preserve"> </w:t>
      </w:r>
      <w:r>
        <w:t xml:space="preserve">completamento dell’Operazione avvenga entro i termini disciplinati dalle pertinenti disposizioni comunitarie, nazionali e regionali;</w:t>
      </w:r>
      <w:r/>
    </w:p>
    <w:p>
      <w:pPr>
        <w:pStyle w:val="998"/>
        <w:numPr>
          <w:ilvl w:val="1"/>
          <w:numId w:val="16"/>
        </w:numPr>
        <w:pBdr/>
        <w:tabs>
          <w:tab w:val="left" w:leader="none" w:pos="859"/>
          <w:tab w:val="left" w:leader="none" w:pos="861"/>
        </w:tabs>
        <w:spacing/>
        <w:ind w:right="149" w:hanging="360" w:left="861"/>
        <w:rPr/>
      </w:pPr>
      <w:r>
        <w:t xml:space="preserve">le relative spese possano essere sostenute e rendicontate, ai fini della relativa ammissibilità a rimborso, entro i termini disciplinati dalle pertinenti disposizioni comunitarie, nazionali e regionali.</w:t>
      </w:r>
      <w:r/>
    </w:p>
    <w:p>
      <w:pPr>
        <w:pStyle w:val="998"/>
        <w:pBdr/>
        <w:spacing/>
        <w:ind/>
        <w:rPr/>
        <w:sectPr>
          <w:footnotePr/>
          <w:endnotePr/>
          <w:type w:val="nextPage"/>
          <w:pgSz w:h="16840" w:orient="portrait" w:w="11910"/>
          <w:pgMar w:top="1720" w:right="992" w:bottom="880" w:left="992" w:header="735" w:footer="682" w:gutter="0"/>
          <w:cols w:num="1" w:sep="0" w:space="1701" w:equalWidth="1"/>
        </w:sectPr>
      </w:pPr>
      <w:r/>
      <w:r/>
    </w:p>
    <w:p>
      <w:pPr>
        <w:pStyle w:val="997"/>
        <w:pBdr/>
        <w:spacing w:before="45"/>
        <w:ind/>
        <w:rPr/>
      </w:pPr>
      <w:r/>
      <w:r/>
    </w:p>
    <w:p>
      <w:pPr>
        <w:pStyle w:val="997"/>
        <w:pBdr/>
        <w:spacing/>
        <w:ind w:right="225" w:hanging="4441" w:left="4661"/>
        <w:jc w:val="both"/>
        <w:rPr/>
      </w:pPr>
      <w:r>
        <w:rPr>
          <w:color w:val="2d73b4"/>
        </w:rPr>
        <w:t xml:space="preserve">Art.</w:t>
      </w:r>
      <w:r>
        <w:rPr>
          <w:color w:val="2d73b4"/>
          <w:spacing w:val="-13"/>
        </w:rPr>
        <w:t xml:space="preserve"> </w:t>
      </w:r>
      <w:r>
        <w:rPr>
          <w:color w:val="2d73b4"/>
        </w:rPr>
        <w:t xml:space="preserve">4</w:t>
      </w:r>
      <w:r>
        <w:rPr>
          <w:color w:val="2d73b4"/>
          <w:spacing w:val="-12"/>
        </w:rPr>
        <w:t xml:space="preserve"> </w:t>
      </w:r>
      <w:r>
        <w:rPr>
          <w:color w:val="2d73b4"/>
        </w:rPr>
        <w:t xml:space="preserve">–</w:t>
      </w:r>
      <w:r>
        <w:rPr>
          <w:color w:val="2d73b4"/>
          <w:spacing w:val="-13"/>
        </w:rPr>
        <w:t xml:space="preserve"> </w:t>
      </w:r>
      <w:r>
        <w:rPr>
          <w:color w:val="2d73b4"/>
        </w:rPr>
        <w:t xml:space="preserve">Affidamento</w:t>
      </w:r>
      <w:r>
        <w:rPr>
          <w:color w:val="2d73b4"/>
          <w:spacing w:val="-12"/>
        </w:rPr>
        <w:t xml:space="preserve"> </w:t>
      </w:r>
      <w:r>
        <w:rPr>
          <w:color w:val="2d73b4"/>
        </w:rPr>
        <w:t xml:space="preserve">di</w:t>
      </w:r>
      <w:r>
        <w:rPr>
          <w:color w:val="2d73b4"/>
          <w:spacing w:val="-13"/>
        </w:rPr>
        <w:t xml:space="preserve"> </w:t>
      </w:r>
      <w:r>
        <w:rPr>
          <w:color w:val="2d73b4"/>
        </w:rPr>
        <w:t xml:space="preserve">contratti</w:t>
      </w:r>
      <w:r>
        <w:rPr>
          <w:color w:val="2d73b4"/>
          <w:spacing w:val="-12"/>
        </w:rPr>
        <w:t xml:space="preserve"> </w:t>
      </w:r>
      <w:r>
        <w:rPr>
          <w:color w:val="2d73b4"/>
        </w:rPr>
        <w:t xml:space="preserve">pubblici</w:t>
      </w:r>
      <w:r>
        <w:rPr>
          <w:color w:val="2d73b4"/>
          <w:spacing w:val="-13"/>
        </w:rPr>
        <w:t xml:space="preserve"> </w:t>
      </w:r>
      <w:r>
        <w:rPr>
          <w:color w:val="2d73b4"/>
        </w:rPr>
        <w:t xml:space="preserve">finalizzati</w:t>
      </w:r>
      <w:r>
        <w:rPr>
          <w:color w:val="2d73b4"/>
          <w:spacing w:val="-12"/>
        </w:rPr>
        <w:t xml:space="preserve"> </w:t>
      </w:r>
      <w:r>
        <w:rPr>
          <w:color w:val="2d73b4"/>
        </w:rPr>
        <w:t xml:space="preserve">all’attuazione</w:t>
      </w:r>
      <w:r>
        <w:rPr>
          <w:color w:val="2d73b4"/>
          <w:spacing w:val="-12"/>
        </w:rPr>
        <w:t xml:space="preserve"> </w:t>
      </w:r>
      <w:r>
        <w:rPr>
          <w:color w:val="2d73b4"/>
        </w:rPr>
        <w:t xml:space="preserve">dell’operazione</w:t>
      </w:r>
      <w:r>
        <w:rPr>
          <w:color w:val="2d73b4"/>
          <w:spacing w:val="-13"/>
        </w:rPr>
        <w:t xml:space="preserve"> </w:t>
      </w:r>
      <w:r>
        <w:rPr>
          <w:color w:val="2d73b4"/>
        </w:rPr>
        <w:t xml:space="preserve">e</w:t>
      </w:r>
      <w:r>
        <w:rPr>
          <w:color w:val="2d73b4"/>
          <w:spacing w:val="-12"/>
        </w:rPr>
        <w:t xml:space="preserve"> </w:t>
      </w:r>
      <w:r>
        <w:rPr>
          <w:color w:val="2d73b4"/>
        </w:rPr>
        <w:t xml:space="preserve">gestione</w:t>
      </w:r>
      <w:r>
        <w:rPr>
          <w:color w:val="2d73b4"/>
          <w:spacing w:val="-13"/>
        </w:rPr>
        <w:t xml:space="preserve"> </w:t>
      </w:r>
      <w:r>
        <w:rPr>
          <w:color w:val="2d73b4"/>
        </w:rPr>
        <w:t xml:space="preserve">delle</w:t>
      </w:r>
      <w:r>
        <w:rPr>
          <w:color w:val="2d73b4"/>
          <w:spacing w:val="-12"/>
        </w:rPr>
        <w:t xml:space="preserve"> </w:t>
      </w:r>
      <w:r>
        <w:rPr>
          <w:color w:val="2d73b4"/>
        </w:rPr>
        <w:t xml:space="preserve">economie di gara</w:t>
      </w:r>
      <w:r/>
    </w:p>
    <w:p>
      <w:pPr>
        <w:pStyle w:val="998"/>
        <w:numPr>
          <w:ilvl w:val="0"/>
          <w:numId w:val="15"/>
        </w:numPr>
        <w:pBdr/>
        <w:tabs>
          <w:tab w:val="left" w:leader="none" w:pos="859"/>
        </w:tabs>
        <w:spacing/>
        <w:ind w:right="147" w:firstLine="0" w:left="567"/>
        <w:rPr/>
      </w:pPr>
      <w:r>
        <w:t xml:space="preserve">A seguito dell’espletamento delle procedure di gara per l’affidamento dei lavori e/o del servizio e/o delle forniture, il Beneficiario alimenta il sistema informativo e ne trasmette comunicazione alla Regione, entro</w:t>
      </w:r>
      <w:r>
        <w:t xml:space="preserve"> </w:t>
      </w:r>
      <w:r>
        <w:rPr>
          <w:rFonts w:ascii="Times New Roman" w:hAnsi="Times New Roman"/>
          <w:spacing w:val="80"/>
          <w:u w:val="single"/>
        </w:rPr>
        <w:t xml:space="preserve"> </w:t>
      </w:r>
      <w:r>
        <w:rPr>
          <w:rFonts w:ascii="Times New Roman" w:hAnsi="Times New Roman"/>
          <w:spacing w:val="-4"/>
        </w:rPr>
        <w:t xml:space="preserve"> </w:t>
      </w:r>
      <w:r>
        <w:t xml:space="preserve">(</w:t>
      </w:r>
      <w:r>
        <w:rPr>
          <w:rFonts w:ascii="Times New Roman" w:hAnsi="Times New Roman"/>
          <w:spacing w:val="80"/>
          <w:u w:val="single"/>
        </w:rPr>
        <w:t xml:space="preserve"> </w:t>
      </w:r>
      <w:r>
        <w:t xml:space="preserve">) giorni dalla stipula del contratto. I documenti relativi provvedimenti di approvazione</w:t>
      </w:r>
      <w:r>
        <w:rPr>
          <w:spacing w:val="-2"/>
        </w:rPr>
        <w:t xml:space="preserve"> </w:t>
      </w:r>
      <w:r>
        <w:t xml:space="preserve">dell’aggiudicazione,</w:t>
      </w:r>
      <w:r>
        <w:rPr>
          <w:spacing w:val="-2"/>
        </w:rPr>
        <w:t xml:space="preserve"> </w:t>
      </w:r>
      <w:r>
        <w:t xml:space="preserve">unitamente</w:t>
      </w:r>
      <w:r>
        <w:rPr>
          <w:spacing w:val="-2"/>
        </w:rPr>
        <w:t xml:space="preserve"> </w:t>
      </w:r>
      <w:r>
        <w:t xml:space="preserve">al</w:t>
      </w:r>
      <w:r>
        <w:rPr>
          <w:spacing w:val="-2"/>
        </w:rPr>
        <w:t xml:space="preserve"> </w:t>
      </w:r>
      <w:r>
        <w:t xml:space="preserve">contratto,</w:t>
      </w:r>
      <w:r>
        <w:rPr>
          <w:spacing w:val="-2"/>
        </w:rPr>
        <w:t xml:space="preserve"> </w:t>
      </w:r>
      <w:r>
        <w:t xml:space="preserve">al</w:t>
      </w:r>
      <w:r>
        <w:rPr>
          <w:spacing w:val="-2"/>
        </w:rPr>
        <w:t xml:space="preserve"> </w:t>
      </w:r>
      <w:r>
        <w:t xml:space="preserve">cronoprogramma</w:t>
      </w:r>
      <w:r>
        <w:rPr>
          <w:spacing w:val="-2"/>
        </w:rPr>
        <w:t xml:space="preserve"> </w:t>
      </w:r>
      <w:r>
        <w:t xml:space="preserve">e</w:t>
      </w:r>
      <w:r>
        <w:rPr>
          <w:spacing w:val="-2"/>
        </w:rPr>
        <w:t xml:space="preserve"> </w:t>
      </w:r>
      <w:r>
        <w:t xml:space="preserve">al</w:t>
      </w:r>
      <w:r>
        <w:rPr>
          <w:spacing w:val="-2"/>
        </w:rPr>
        <w:t xml:space="preserve"> </w:t>
      </w:r>
      <w:r>
        <w:t xml:space="preserve">quadro</w:t>
      </w:r>
      <w:r>
        <w:rPr>
          <w:spacing w:val="-2"/>
        </w:rPr>
        <w:t xml:space="preserve"> </w:t>
      </w:r>
      <w:r>
        <w:t xml:space="preserve">economico rideterminato e approvato, redatto – per quanto attiene le spese ammissibili – con i criteri di cui</w:t>
      </w:r>
      <w:r>
        <w:rPr>
          <w:spacing w:val="40"/>
        </w:rPr>
        <w:t xml:space="preserve"> </w:t>
      </w:r>
      <w:r>
        <w:t xml:space="preserve">all’art. 6 del presente Disciplinare, e con esplicita indicazione delle eventuali economie rinvenienti</w:t>
      </w:r>
      <w:r>
        <w:t xml:space="preserve"> dai ribassi di gara (sia con riferimento all’importo a base d’asta, sia con riferimento alla voce dell’I.V.A. sulla prestazione oggetto di gara riportata tra le somme a disposizione) dovranno essere caricati nelle sezioni dedicate del sistema informativo.</w:t>
      </w:r>
      <w:r/>
    </w:p>
    <w:p>
      <w:pPr>
        <w:pStyle w:val="998"/>
        <w:numPr>
          <w:ilvl w:val="0"/>
          <w:numId w:val="15"/>
        </w:numPr>
        <w:pBdr/>
        <w:tabs>
          <w:tab w:val="left" w:leader="none" w:pos="859"/>
        </w:tabs>
        <w:spacing/>
        <w:ind w:right="98" w:firstLine="0" w:left="567"/>
        <w:rPr/>
      </w:pPr>
      <w:r>
        <w:t xml:space="preserve">Nell’ipotesi in cui l’Operazione preveda la realizzazione di opere e/o l’acquisizione di servizi e/o forniture mediante l’espletamento di diverse procedure di gara, la documentazione di cui sopra deve essere</w:t>
      </w:r>
      <w:r>
        <w:rPr>
          <w:spacing w:val="31"/>
        </w:rPr>
        <w:t xml:space="preserve"> </w:t>
      </w:r>
      <w:r>
        <w:t xml:space="preserve">caricata</w:t>
      </w:r>
      <w:r>
        <w:rPr>
          <w:spacing w:val="31"/>
        </w:rPr>
        <w:t xml:space="preserve"> </w:t>
      </w:r>
      <w:r>
        <w:t xml:space="preserve">a</w:t>
      </w:r>
      <w:r>
        <w:rPr>
          <w:spacing w:val="31"/>
        </w:rPr>
        <w:t xml:space="preserve"> </w:t>
      </w:r>
      <w:r>
        <w:t xml:space="preserve">sistema</w:t>
      </w:r>
      <w:r>
        <w:rPr>
          <w:spacing w:val="31"/>
        </w:rPr>
        <w:t xml:space="preserve"> </w:t>
      </w:r>
      <w:r>
        <w:t xml:space="preserve">inoltrata</w:t>
      </w:r>
      <w:r>
        <w:rPr>
          <w:spacing w:val="31"/>
        </w:rPr>
        <w:t xml:space="preserve"> </w:t>
      </w:r>
      <w:r>
        <w:t xml:space="preserve">a</w:t>
      </w:r>
      <w:r>
        <w:rPr>
          <w:spacing w:val="31"/>
        </w:rPr>
        <w:t xml:space="preserve"> </w:t>
      </w:r>
      <w:r>
        <w:t xml:space="preserve">seguito</w:t>
      </w:r>
      <w:r>
        <w:rPr>
          <w:spacing w:val="31"/>
        </w:rPr>
        <w:t xml:space="preserve"> </w:t>
      </w:r>
      <w:r>
        <w:t xml:space="preserve">dell’espletamento</w:t>
      </w:r>
      <w:r>
        <w:rPr>
          <w:spacing w:val="31"/>
        </w:rPr>
        <w:t xml:space="preserve"> </w:t>
      </w:r>
      <w:r>
        <w:t xml:space="preserve">di</w:t>
      </w:r>
      <w:r>
        <w:rPr>
          <w:spacing w:val="31"/>
        </w:rPr>
        <w:t xml:space="preserve"> </w:t>
      </w:r>
      <w:r>
        <w:t xml:space="preserve">ciascuna</w:t>
      </w:r>
      <w:r>
        <w:rPr>
          <w:spacing w:val="31"/>
        </w:rPr>
        <w:t xml:space="preserve"> </w:t>
      </w:r>
      <w:r>
        <w:t xml:space="preserve">procedura</w:t>
      </w:r>
      <w:r>
        <w:rPr>
          <w:spacing w:val="31"/>
        </w:rPr>
        <w:t xml:space="preserve"> </w:t>
      </w:r>
      <w:r>
        <w:t xml:space="preserve">ed</w:t>
      </w:r>
      <w:r>
        <w:rPr>
          <w:spacing w:val="31"/>
        </w:rPr>
        <w:t xml:space="preserve"> </w:t>
      </w:r>
      <w:r>
        <w:t xml:space="preserve">entro</w:t>
      </w:r>
      <w:r>
        <w:rPr>
          <w:spacing w:val="31"/>
        </w:rPr>
        <w:t xml:space="preserve"> </w:t>
      </w:r>
      <w:r>
        <w:rPr>
          <w:rFonts w:ascii="Times New Roman" w:hAnsi="Times New Roman"/>
          <w:spacing w:val="68"/>
          <w:u w:val="single"/>
        </w:rPr>
        <w:t xml:space="preserve"> </w:t>
      </w:r>
      <w:r>
        <w:rPr>
          <w:rFonts w:ascii="Times New Roman" w:hAnsi="Times New Roman"/>
          <w:spacing w:val="68"/>
          <w:u w:val="single"/>
        </w:rPr>
        <w:t xml:space="preserve">  </w:t>
      </w:r>
      <w:r>
        <w:rPr>
          <w:rFonts w:ascii="Times New Roman" w:hAnsi="Times New Roman"/>
          <w:spacing w:val="68"/>
        </w:rPr>
        <w:t xml:space="preserve"> </w:t>
      </w:r>
      <w:r>
        <w:t xml:space="preserve">(</w:t>
      </w:r>
      <w:r>
        <w:rPr>
          <w:rFonts w:ascii="Times New Roman" w:hAnsi="Times New Roman"/>
          <w:spacing w:val="80"/>
          <w:u w:val="single"/>
        </w:rPr>
        <w:t xml:space="preserve">  </w:t>
      </w:r>
      <w:r>
        <w:t xml:space="preserve">)</w:t>
      </w:r>
      <w:r>
        <w:t xml:space="preserve"> giorni dalla stipula dei relativi contratti.</w:t>
      </w:r>
      <w:r/>
    </w:p>
    <w:p>
      <w:pPr>
        <w:pStyle w:val="998"/>
        <w:numPr>
          <w:ilvl w:val="0"/>
          <w:numId w:val="15"/>
        </w:numPr>
        <w:pBdr/>
        <w:tabs>
          <w:tab w:val="left" w:leader="none" w:pos="859"/>
        </w:tabs>
        <w:spacing/>
        <w:ind w:right="147" w:firstLine="0" w:left="567"/>
        <w:rPr/>
      </w:pPr>
      <w:r>
        <w:t xml:space="preserve">Unitamente dalla documentazione di cui sopra, qualora non già inseriti trasmessi, il Beneficiario deve provvede al relativo inserimento nella sezione documentale di Caronte:</w:t>
      </w:r>
      <w:r/>
    </w:p>
    <w:p>
      <w:pPr>
        <w:pStyle w:val="998"/>
        <w:numPr>
          <w:ilvl w:val="1"/>
          <w:numId w:val="15"/>
        </w:numPr>
        <w:pBdr/>
        <w:tabs>
          <w:tab w:val="left" w:leader="none" w:pos="859"/>
        </w:tabs>
        <w:spacing/>
        <w:ind w:right="147" w:firstLine="0" w:left="567"/>
        <w:rPr/>
      </w:pPr>
      <w:r>
        <w:t xml:space="preserve">nel caso di acquisizione di servizi o forniture: la</w:t>
      </w:r>
      <w:r>
        <w:t xml:space="preserve"> documentazione completa (decreto a contrarre, bando/avviso, disciplinare di gara, capitolato d’appalto, progetto di servizi o forniture, ecc.) prevista dalla disciplina nazionale e regionale per l’espletamento della procedura di affidamento del contratto </w:t>
      </w:r>
      <w:r>
        <w:rPr>
          <w:spacing w:val="-2"/>
        </w:rPr>
        <w:t xml:space="preserve">pubblico;</w:t>
      </w:r>
      <w:r/>
    </w:p>
    <w:p>
      <w:pPr>
        <w:pStyle w:val="998"/>
        <w:numPr>
          <w:ilvl w:val="1"/>
          <w:numId w:val="15"/>
        </w:numPr>
        <w:pBdr/>
        <w:tabs>
          <w:tab w:val="left" w:leader="none" w:pos="859"/>
        </w:tabs>
        <w:spacing/>
        <w:ind w:right="148" w:firstLine="0" w:left="567"/>
        <w:rPr/>
      </w:pPr>
      <w:r>
        <w:t xml:space="preserve">nel caso di OOPP: la documentazione completa (decreto a contrarre, bando/avviso, disciplinare di gara, capitolato d’appalto, ecc.) prevista dalla disciplina nazional</w:t>
      </w:r>
      <w:r>
        <w:t xml:space="preserve">e e regionale per l’espletamento della procedura di affidamento del contratto pubblico, ivi compreso, se non già inserito, il progetto esecutivo dell’operazione, munito di tutti i pareri e i nulla osta previsti dalla normativa nazionale in materia di OOPP.</w:t>
      </w:r>
      <w:r/>
    </w:p>
    <w:p>
      <w:pPr>
        <w:pStyle w:val="998"/>
        <w:numPr>
          <w:ilvl w:val="0"/>
          <w:numId w:val="15"/>
        </w:numPr>
        <w:pBdr/>
        <w:tabs>
          <w:tab w:val="left" w:leader="none" w:pos="859"/>
        </w:tabs>
        <w:spacing/>
        <w:ind w:right="147" w:firstLine="0" w:left="567"/>
        <w:rPr/>
      </w:pPr>
      <w:r>
        <w:t xml:space="preserve">Le economie di gara, ossia le risorse rinvenienti dai ribassi presentati in sede di procedure di gara, possono essere utilizzate direttamente dal</w:t>
      </w:r>
      <w:r>
        <w:t xml:space="preserve"> Beneficiario per finanziare spese all’interno del quadro economico dello stesso intervento oggetto della procedura di affidamento esclusivamente per la copertura dei maggiori costi connessi alla necessità di fronteggiare gli aumenti eccezionali dei prezzi</w:t>
      </w:r>
      <w:r>
        <w:rPr>
          <w:spacing w:val="40"/>
        </w:rPr>
        <w:t xml:space="preserve"> </w:t>
      </w:r>
      <w:r>
        <w:t xml:space="preserve">dei materiali da costruzione, nonché dei carburanti e dei prodotti energetici di cui all’art.26 del D.L. 50/2022 o altre analoghe disposizioni normative, nei </w:t>
      </w:r>
      <w:r>
        <w:t xml:space="preserve">limiti e con le modalità stabilite dalle medesime disposizioni normative. Il beneficiario assume la diretta responsabilità dell’esecuzione dell’intervento, che deve essere realizzato in aderenza al quadro economico complessivo e al progetto e alle eventual</w:t>
      </w:r>
      <w:r>
        <w:t xml:space="preserve">i variazioni che si rendesse necessario adottare, sempre che le stesse rientrino tra i tassativi casi e nei limiti previsti dalla vigente normativa. Anche tale documentazione relativa all’utilizzo delle economie deve essere caricata sul sistema informativo</w:t>
      </w:r>
      <w:r/>
    </w:p>
    <w:p>
      <w:pPr>
        <w:pStyle w:val="997"/>
        <w:pBdr/>
        <w:spacing/>
        <w:ind/>
        <w:rPr/>
      </w:pPr>
      <w:r/>
      <w:r/>
    </w:p>
    <w:p>
      <w:pPr>
        <w:pStyle w:val="997"/>
        <w:pBdr/>
        <w:spacing/>
        <w:ind w:left="2736"/>
        <w:jc w:val="both"/>
        <w:rPr/>
      </w:pPr>
      <w:r>
        <w:rPr>
          <w:color w:val="2d73b4"/>
        </w:rPr>
        <w:t xml:space="preserve">Art.</w:t>
      </w:r>
      <w:r>
        <w:rPr>
          <w:color w:val="2d73b4"/>
          <w:spacing w:val="-11"/>
        </w:rPr>
        <w:t xml:space="preserve"> </w:t>
      </w:r>
      <w:r>
        <w:rPr>
          <w:color w:val="2d73b4"/>
        </w:rPr>
        <w:t xml:space="preserve">5</w:t>
      </w:r>
      <w:r>
        <w:rPr>
          <w:color w:val="2d73b4"/>
          <w:spacing w:val="-11"/>
        </w:rPr>
        <w:t xml:space="preserve"> </w:t>
      </w:r>
      <w:r>
        <w:rPr>
          <w:color w:val="2d73b4"/>
        </w:rPr>
        <w:t xml:space="preserve">–</w:t>
      </w:r>
      <w:r>
        <w:rPr>
          <w:color w:val="2d73b4"/>
          <w:spacing w:val="-11"/>
        </w:rPr>
        <w:t xml:space="preserve"> </w:t>
      </w:r>
      <w:r>
        <w:rPr>
          <w:color w:val="2d73b4"/>
        </w:rPr>
        <w:t xml:space="preserve">Profilo</w:t>
      </w:r>
      <w:r>
        <w:rPr>
          <w:color w:val="2d73b4"/>
          <w:spacing w:val="-11"/>
        </w:rPr>
        <w:t xml:space="preserve"> </w:t>
      </w:r>
      <w:r>
        <w:rPr>
          <w:color w:val="2d73b4"/>
        </w:rPr>
        <w:t xml:space="preserve">pluriennale</w:t>
      </w:r>
      <w:r>
        <w:rPr>
          <w:color w:val="2d73b4"/>
          <w:spacing w:val="-11"/>
        </w:rPr>
        <w:t xml:space="preserve"> </w:t>
      </w:r>
      <w:r>
        <w:rPr>
          <w:color w:val="2d73b4"/>
        </w:rPr>
        <w:t xml:space="preserve">di</w:t>
      </w:r>
      <w:r>
        <w:rPr>
          <w:color w:val="2d73b4"/>
          <w:spacing w:val="-11"/>
        </w:rPr>
        <w:t xml:space="preserve"> </w:t>
      </w:r>
      <w:r>
        <w:rPr>
          <w:color w:val="2d73b4"/>
        </w:rPr>
        <w:t xml:space="preserve">impegni</w:t>
      </w:r>
      <w:r>
        <w:rPr>
          <w:color w:val="2d73b4"/>
          <w:spacing w:val="-11"/>
        </w:rPr>
        <w:t xml:space="preserve"> </w:t>
      </w:r>
      <w:r>
        <w:rPr>
          <w:color w:val="2d73b4"/>
        </w:rPr>
        <w:t xml:space="preserve">e</w:t>
      </w:r>
      <w:r>
        <w:rPr>
          <w:color w:val="2d73b4"/>
          <w:spacing w:val="-10"/>
        </w:rPr>
        <w:t xml:space="preserve"> </w:t>
      </w:r>
      <w:r>
        <w:rPr>
          <w:color w:val="2d73b4"/>
          <w:spacing w:val="-2"/>
        </w:rPr>
        <w:t xml:space="preserve">pagamenti</w:t>
      </w:r>
      <w:r/>
    </w:p>
    <w:p>
      <w:pPr>
        <w:pStyle w:val="998"/>
        <w:numPr>
          <w:ilvl w:val="0"/>
          <w:numId w:val="14"/>
        </w:numPr>
        <w:pBdr/>
        <w:tabs>
          <w:tab w:val="left" w:leader="none" w:pos="500"/>
          <w:tab w:val="left" w:leader="none" w:pos="502"/>
        </w:tabs>
        <w:spacing/>
        <w:ind w:right="147"/>
        <w:rPr/>
      </w:pPr>
      <w:r>
        <w:t xml:space="preserve">Il Beneficiario si impegna al rispetto del profilo pluriennale di impegni e pagamenti di cui al paragrafo 8 dell’Allegato al presente Disciplinare.</w:t>
      </w:r>
      <w:r/>
    </w:p>
    <w:p>
      <w:pPr>
        <w:pStyle w:val="998"/>
        <w:numPr>
          <w:ilvl w:val="0"/>
          <w:numId w:val="14"/>
        </w:numPr>
        <w:pBdr/>
        <w:tabs>
          <w:tab w:val="left" w:leader="none" w:pos="500"/>
          <w:tab w:val="left" w:leader="none" w:pos="502"/>
        </w:tabs>
        <w:spacing/>
        <w:ind w:right="148"/>
        <w:rPr/>
      </w:pPr>
      <w:r>
        <w:t xml:space="preserve">Nel caso di mancato rispetto dei termini temporali di impegno e spesa per ciascuna annualità, così</w:t>
      </w:r>
      <w:r>
        <w:rPr>
          <w:spacing w:val="40"/>
        </w:rPr>
        <w:t xml:space="preserve"> </w:t>
      </w:r>
      <w:r>
        <w:t xml:space="preserve">come riveniente dal sistema di monitoraggio economico, finanziario, fisico e proc</w:t>
      </w:r>
      <w:r>
        <w:t xml:space="preserve">edurale Caronte o comunque accertato dalla Regione, quest’ultima si riserva di avviare il procedimento di revoca del contributo finanziario concesso, salvo che il ritardo dipenda da causa di forza maggiore comprovata, da dimostrarsi dal Beneficiario entro </w:t>
      </w:r>
      <w:r>
        <w:rPr>
          <w:rFonts w:ascii="Times New Roman" w:hAnsi="Times New Roman"/>
          <w:spacing w:val="40"/>
          <w:u w:val="single"/>
        </w:rPr>
        <w:t xml:space="preserve"> </w:t>
      </w:r>
      <w:r>
        <w:t xml:space="preserve">(</w:t>
      </w:r>
      <w:r>
        <w:rPr>
          <w:rFonts w:ascii="Times New Roman" w:hAnsi="Times New Roman"/>
          <w:spacing w:val="80"/>
          <w:u w:val="single"/>
        </w:rPr>
        <w:t xml:space="preserve"> </w:t>
      </w:r>
      <w:r>
        <w:t xml:space="preserve">) giorni dalla ricezione della comunicazione di avvio del procedimento di revoca del contributo finanziario concesso. Si applica, al riguardo, quanto previsto dal comma 3 del precedente art. 3.</w:t>
      </w:r>
      <w:r/>
    </w:p>
    <w:p>
      <w:pPr>
        <w:pStyle w:val="998"/>
        <w:pBdr/>
        <w:spacing/>
        <w:ind/>
        <w:rPr/>
        <w:sectPr>
          <w:footnotePr/>
          <w:endnotePr/>
          <w:type w:val="nextPage"/>
          <w:pgSz w:h="16840" w:orient="portrait" w:w="11910"/>
          <w:pgMar w:top="1720" w:right="992" w:bottom="880" w:left="992" w:header="735" w:footer="682" w:gutter="0"/>
          <w:cols w:num="1" w:sep="0" w:space="1701" w:equalWidth="1"/>
        </w:sectPr>
      </w:pPr>
      <w:r/>
      <w:r/>
    </w:p>
    <w:p>
      <w:pPr>
        <w:pStyle w:val="997"/>
        <w:pBdr/>
        <w:spacing w:before="45"/>
        <w:ind/>
        <w:rPr/>
      </w:pPr>
      <w:r/>
      <w:r/>
    </w:p>
    <w:p>
      <w:pPr>
        <w:pStyle w:val="997"/>
        <w:pBdr/>
        <w:spacing/>
        <w:ind w:left="3840"/>
        <w:jc w:val="both"/>
        <w:rPr/>
      </w:pPr>
      <w:r>
        <w:rPr>
          <w:color w:val="2d73b4"/>
        </w:rPr>
        <w:t xml:space="preserve">Art.</w:t>
      </w:r>
      <w:r>
        <w:rPr>
          <w:color w:val="2d73b4"/>
          <w:spacing w:val="-7"/>
        </w:rPr>
        <w:t xml:space="preserve"> </w:t>
      </w:r>
      <w:r>
        <w:rPr>
          <w:color w:val="2d73b4"/>
        </w:rPr>
        <w:t xml:space="preserve">6</w:t>
      </w:r>
      <w:r>
        <w:rPr>
          <w:color w:val="2d73b4"/>
          <w:spacing w:val="-7"/>
        </w:rPr>
        <w:t xml:space="preserve"> </w:t>
      </w:r>
      <w:r>
        <w:rPr>
          <w:color w:val="2d73b4"/>
        </w:rPr>
        <w:t xml:space="preserve">–</w:t>
      </w:r>
      <w:r>
        <w:rPr>
          <w:color w:val="2d73b4"/>
          <w:spacing w:val="-7"/>
        </w:rPr>
        <w:t xml:space="preserve"> </w:t>
      </w:r>
      <w:r>
        <w:rPr>
          <w:color w:val="2d73b4"/>
        </w:rPr>
        <w:t xml:space="preserve">Spese</w:t>
      </w:r>
      <w:r>
        <w:rPr>
          <w:color w:val="2d73b4"/>
          <w:spacing w:val="-7"/>
        </w:rPr>
        <w:t xml:space="preserve"> </w:t>
      </w:r>
      <w:r>
        <w:rPr>
          <w:color w:val="2d73b4"/>
          <w:spacing w:val="-2"/>
        </w:rPr>
        <w:t xml:space="preserve">ammissibili</w:t>
      </w:r>
      <w:r/>
    </w:p>
    <w:p>
      <w:pPr>
        <w:pStyle w:val="997"/>
        <w:pBdr/>
        <w:spacing/>
        <w:ind/>
        <w:rPr/>
      </w:pPr>
      <w:r/>
      <w:r/>
    </w:p>
    <w:p>
      <w:pPr>
        <w:pStyle w:val="997"/>
        <w:numPr>
          <w:ilvl w:val="0"/>
          <w:numId w:val="20"/>
        </w:numPr>
        <w:pBdr/>
        <w:spacing/>
        <w:ind/>
        <w:jc w:val="both"/>
        <w:rPr/>
      </w:pPr>
      <w:r>
        <w:t xml:space="preserve">L’importo del contributo finanziario definitivamente concesso costituisce l’importo massimo a disposizione del Beneficiario ed è invariabile in aumento.</w:t>
      </w:r>
      <w:r/>
    </w:p>
    <w:p>
      <w:pPr>
        <w:pStyle w:val="997"/>
        <w:numPr>
          <w:ilvl w:val="0"/>
          <w:numId w:val="20"/>
        </w:numPr>
        <w:pBdr/>
        <w:spacing/>
        <w:ind/>
        <w:jc w:val="both"/>
        <w:rPr>
          <w:lang w:val="en-US"/>
        </w:rPr>
      </w:pPr>
      <w:r>
        <w:t xml:space="preserve">Le spese ammissibili a contributo finanziario sono quell</w:t>
      </w:r>
      <w:r>
        <w:t xml:space="preserve">e definite, nel rispetto delle vigenti disposizioni comunitarie, nazionali e regionali, nel Programma e nella programmazione attuativa dell’Azione. In particolare, sono considerate ammissibili le spese effettivamente sostenute dai Beneficiario direttamente</w:t>
      </w:r>
      <w:r>
        <w:t xml:space="preserve"> imputabili all’operazione come successivamente specificato e sostenute e pagate dal Beneficiario nel periodo di ammissibilità della spesa del Programma e, comunque, entro il termine di conclusione dell’operazione indicato nella domanda e/o nel Disciplinar</w:t>
      </w:r>
      <w:r>
        <w:t xml:space="preserve">e di cui al paragrafo 4.7., al fine di concorrere al raggiungimento dei target intermedi e finali per la verifica dell’efficacia dell’attuazione di cui agli artt. 16, 17, e 18 del Regolamento (UE) 2021/1060 e dell’avanzamento di spesa previsto dagli artt. </w:t>
      </w:r>
      <w:r>
        <w:rPr>
          <w:lang w:val="en-US"/>
        </w:rPr>
        <w:t xml:space="preserve">105 e 107 del medesimo regolamento.</w:t>
      </w:r>
      <w:r>
        <w:rPr>
          <w:lang w:val="en-US"/>
        </w:rPr>
      </w:r>
    </w:p>
    <w:p>
      <w:pPr>
        <w:pStyle w:val="997"/>
        <w:numPr>
          <w:ilvl w:val="0"/>
          <w:numId w:val="20"/>
        </w:numPr>
        <w:pBdr/>
        <w:spacing/>
        <w:ind/>
        <w:jc w:val="both"/>
        <w:rPr/>
      </w:pPr>
      <w:r>
        <w:t xml:space="preserve">Per la realizzazione delle Operazioni previste nel presente Avviso, il costo dell’operazione è determinato nel rispetto delle seguenti categorie di spese ammissibili:</w:t>
      </w:r>
      <w:r/>
    </w:p>
    <w:p>
      <w:pPr>
        <w:pStyle w:val="997"/>
        <w:numPr>
          <w:ilvl w:val="0"/>
          <w:numId w:val="21"/>
        </w:numPr>
        <w:pBdr/>
        <w:spacing/>
        <w:ind/>
        <w:jc w:val="both"/>
        <w:rPr/>
      </w:pPr>
      <w:r>
        <w:t xml:space="preserve">esecuzione dei lavori relativi alle opere, agli impianti, acquisto delle forniture e dei servizi connessi all’esecuzione stessa;</w:t>
      </w:r>
      <w:r/>
    </w:p>
    <w:p>
      <w:pPr>
        <w:pStyle w:val="997"/>
        <w:numPr>
          <w:ilvl w:val="0"/>
          <w:numId w:val="21"/>
        </w:numPr>
        <w:pBdr/>
        <w:spacing/>
        <w:ind/>
        <w:jc w:val="both"/>
        <w:rPr/>
      </w:pPr>
      <w:r>
        <w:t xml:space="preserve">acquisto di arredi, attrezzature, macchinari e strumentazione tecnica funzionali all’opera e nei limiti e secondo le procedure previste dal D.Lgs 31 marzo 2023 n.36;</w:t>
      </w:r>
      <w:r/>
    </w:p>
    <w:p>
      <w:pPr>
        <w:pStyle w:val="997"/>
        <w:numPr>
          <w:ilvl w:val="0"/>
          <w:numId w:val="21"/>
        </w:numPr>
        <w:pBdr/>
        <w:spacing/>
        <w:ind/>
        <w:jc w:val="both"/>
        <w:rPr/>
      </w:pPr>
      <w:r>
        <w:t xml:space="preserve">acquisto di</w:t>
      </w:r>
      <w:r>
        <w:t xml:space="preserve"> apparecchiature, strumentazioni, dispositivi medici attivi, anche ad alta tecnologia e connesse attrezzature sanitarie, funzionali al miglioramento del servizio e delle prestazioni rese all’utenza (da dettagliare nella relazione descrittiva del progetto);</w:t>
      </w:r>
      <w:r/>
    </w:p>
    <w:p>
      <w:pPr>
        <w:pStyle w:val="997"/>
        <w:numPr>
          <w:ilvl w:val="0"/>
          <w:numId w:val="21"/>
        </w:numPr>
        <w:pBdr/>
        <w:spacing/>
        <w:ind/>
        <w:jc w:val="both"/>
        <w:rPr/>
      </w:pPr>
      <w:r>
        <w:t xml:space="preserve">acquisto di soluzioni informatiche e servizi sanitari digitali, funzionali al miglioramento del servizio e delle prestazioni rese all’utenza (da dettagliare nella relazione descrittiva del progetto);</w:t>
      </w:r>
      <w:r/>
    </w:p>
    <w:p>
      <w:pPr>
        <w:pStyle w:val="997"/>
        <w:numPr>
          <w:ilvl w:val="0"/>
          <w:numId w:val="21"/>
        </w:numPr>
        <w:pBdr/>
        <w:spacing/>
        <w:ind/>
        <w:jc w:val="both"/>
        <w:rPr/>
      </w:pPr>
      <w:r>
        <w:t xml:space="preserve">acquisizione di immobili necessari per la realizzazi</w:t>
      </w:r>
      <w:r>
        <w:t xml:space="preserve">one dell’opera nei limiti di quanto previsto ai successivi commi 5 e 6 e previa presentazione di una perizia giurata di stima redatta da un esperto qualificato e indipendente o un organismo debitamente autorizzato che attesti il valore di mercato del bene;</w:t>
      </w:r>
      <w:r/>
    </w:p>
    <w:p>
      <w:pPr>
        <w:pStyle w:val="997"/>
        <w:numPr>
          <w:ilvl w:val="0"/>
          <w:numId w:val="21"/>
        </w:numPr>
        <w:pBdr/>
        <w:spacing/>
        <w:ind/>
        <w:jc w:val="both"/>
        <w:rPr/>
      </w:pPr>
      <w:r>
        <w:t xml:space="preserve">indennità e contributi dovuti ad enti pubblici e privati come per legge (permessi, concessioni, autorizzazioni, finalizzate all’esecuzione delle opere);</w:t>
      </w:r>
      <w:r/>
    </w:p>
    <w:p>
      <w:pPr>
        <w:pStyle w:val="997"/>
        <w:numPr>
          <w:ilvl w:val="0"/>
          <w:numId w:val="21"/>
        </w:numPr>
        <w:pBdr/>
        <w:spacing/>
        <w:ind/>
        <w:jc w:val="both"/>
        <w:rPr/>
      </w:pPr>
      <w:r>
        <w:t xml:space="preserve">spese generali come definite al successivo comma 4;</w:t>
      </w:r>
      <w:r/>
    </w:p>
    <w:p>
      <w:pPr>
        <w:pStyle w:val="997"/>
        <w:numPr>
          <w:ilvl w:val="0"/>
          <w:numId w:val="20"/>
        </w:numPr>
        <w:pBdr/>
        <w:spacing/>
        <w:ind/>
        <w:jc w:val="both"/>
        <w:rPr/>
      </w:pPr>
      <w:r>
        <w:t xml:space="preserve">Per spese generali, da prevedere nel quadro economico tra le somme a disposizione del Beneficiario, si intendono quelle relative alle seguenti voci previste dalla normativa vigente in materia di appalti:</w:t>
      </w:r>
      <w:r/>
    </w:p>
    <w:p>
      <w:pPr>
        <w:pStyle w:val="997"/>
        <w:pBdr/>
        <w:spacing/>
        <w:ind/>
        <w:jc w:val="both"/>
        <w:rPr/>
      </w:pPr>
      <w:r>
        <w:t xml:space="preserve">-</w:t>
      </w:r>
      <w:r>
        <w:tab/>
        <w:t xml:space="preserve">spese di gara (commissioni aggiudicatrici)</w:t>
      </w:r>
      <w:r/>
    </w:p>
    <w:p>
      <w:pPr>
        <w:pStyle w:val="997"/>
        <w:numPr>
          <w:ilvl w:val="0"/>
          <w:numId w:val="22"/>
        </w:numPr>
        <w:pBdr/>
        <w:spacing/>
        <w:ind/>
        <w:jc w:val="both"/>
        <w:rPr/>
      </w:pPr>
      <w:r>
        <w:t xml:space="preserve">Eventuali spese per verifiche tecniche a carico della stazione appaltante previste nel capitolato speciale d’appalto</w:t>
      </w:r>
      <w:r/>
    </w:p>
    <w:p>
      <w:pPr>
        <w:pStyle w:val="997"/>
        <w:numPr>
          <w:ilvl w:val="0"/>
          <w:numId w:val="22"/>
        </w:numPr>
        <w:pBdr/>
        <w:spacing/>
        <w:ind/>
        <w:jc w:val="both"/>
        <w:rPr/>
      </w:pPr>
      <w:r>
        <w:t xml:space="preserve">Spese per progettazione dell’opera, direzione lavori, coordinamenti della sicurezza, assistenza giornaliera e contabilità,</w:t>
      </w:r>
      <w:r>
        <w:t xml:space="preserve"> collaudi tecnici, collaudo tecnico-amministrativo, consulenze o supporto tecnico-amministrativo ivi comprese le spese per la redazione delle relazioni geologiche, per un importo massimo complessivo del 10% del totale del contributo ammesso a finanziamento</w:t>
      </w:r>
      <w:r/>
    </w:p>
    <w:p>
      <w:pPr>
        <w:pStyle w:val="997"/>
        <w:numPr>
          <w:ilvl w:val="0"/>
          <w:numId w:val="22"/>
        </w:numPr>
        <w:pBdr/>
        <w:spacing/>
        <w:ind/>
        <w:jc w:val="both"/>
        <w:rPr>
          <w:lang w:val="en-US"/>
        </w:rPr>
      </w:pPr>
      <w:r>
        <w:rPr>
          <w:lang w:val="en-US"/>
        </w:rPr>
        <w:t xml:space="preserve">oneri per la sicurezza</w:t>
      </w:r>
      <w:r>
        <w:rPr>
          <w:lang w:val="en-US"/>
        </w:rPr>
      </w:r>
    </w:p>
    <w:p>
      <w:pPr>
        <w:pStyle w:val="997"/>
        <w:numPr>
          <w:ilvl w:val="0"/>
          <w:numId w:val="22"/>
        </w:numPr>
        <w:pBdr/>
        <w:spacing/>
        <w:ind/>
        <w:jc w:val="both"/>
        <w:rPr/>
      </w:pPr>
      <w:r>
        <w:t xml:space="preserve">Imprevisti ai sensi del D.Lgs 31 marzo 2023 n.36;</w:t>
      </w:r>
      <w:r/>
    </w:p>
    <w:p>
      <w:pPr>
        <w:pStyle w:val="997"/>
        <w:numPr>
          <w:ilvl w:val="0"/>
          <w:numId w:val="22"/>
        </w:numPr>
        <w:pBdr/>
        <w:spacing/>
        <w:ind/>
        <w:jc w:val="both"/>
        <w:rPr/>
      </w:pPr>
      <w:r>
        <w:t xml:space="preserve">Certificazione di qualità dei prodotti e/o servizi</w:t>
      </w:r>
      <w:r/>
    </w:p>
    <w:p>
      <w:pPr>
        <w:pStyle w:val="997"/>
        <w:numPr>
          <w:ilvl w:val="0"/>
          <w:numId w:val="20"/>
        </w:numPr>
        <w:pBdr/>
        <w:spacing/>
        <w:ind/>
        <w:jc w:val="both"/>
        <w:rPr/>
      </w:pPr>
      <w:r>
        <w:t xml:space="preserve">Nel solo caso di realizzazione di OOPP: le spese di es</w:t>
      </w:r>
      <w:r>
        <w:t xml:space="preserve">proprio e di acquisizione delle aree non edificate, ammissibili in presenza della sussistenza di un nesso diretto fra l’acquisizione delle aree e l’infrastruttura da realizzare, non possono superare il 10% del totale del contributo definitivamente erogato.</w:t>
      </w:r>
      <w:r/>
    </w:p>
    <w:p>
      <w:pPr>
        <w:pStyle w:val="997"/>
        <w:numPr>
          <w:ilvl w:val="0"/>
          <w:numId w:val="20"/>
        </w:numPr>
        <w:pBdr/>
        <w:spacing/>
        <w:ind/>
        <w:jc w:val="both"/>
        <w:rPr/>
      </w:pPr>
      <w:r>
        <w:t xml:space="preserve">Nel solo caso di realizzazione di</w:t>
      </w:r>
      <w:r>
        <w:t xml:space="preserve"> OOPP: le spese per acquisto di edifici già costruiti sono ammissibili purché siano direttamente connesse alla realizzazione dell’Operazione ed esclusivamente nei limiti e alle condizioni di cui alle vigenti disposizioni comunitarie, nazionali e regionali.</w:t>
      </w:r>
      <w:r/>
    </w:p>
    <w:p>
      <w:pPr>
        <w:pStyle w:val="997"/>
        <w:numPr>
          <w:ilvl w:val="0"/>
          <w:numId w:val="20"/>
        </w:numPr>
        <w:pBdr/>
        <w:spacing/>
        <w:ind/>
        <w:jc w:val="both"/>
        <w:rPr/>
      </w:pPr>
      <w:r>
        <w:t xml:space="preserve">Nel solo caso di realizzazione di OOPP: le spese per rilievi, accertamenti e indagini, ivi comprese quelle geologiche e geotecniche non a carico del progettista, né necessarie alla redazione della relazione </w:t>
      </w:r>
      <w:r>
        <w:t xml:space="preserve">geologica, da prevedere nel quadro economico tra le somme a disposizione del Beneficiario, non possono superare il 5% della spesa totale ammissibile dell’Operazione.</w:t>
      </w:r>
      <w:r/>
    </w:p>
    <w:p>
      <w:pPr>
        <w:pStyle w:val="997"/>
        <w:numPr>
          <w:ilvl w:val="0"/>
          <w:numId w:val="20"/>
        </w:numPr>
        <w:pBdr/>
        <w:spacing/>
        <w:ind/>
        <w:rPr/>
      </w:pPr>
      <w:r>
        <w:t xml:space="preserve">Nel solo caso di realizzazione di OOPP: </w:t>
      </w:r>
      <w:r>
        <w:t xml:space="preserve">eventuali maggiori oneri che si dovessero verificare a titolo di spese generali o di acquisizione di immobili o di somme a disposizione del Beneficiario, rispetto a quelli precedentemente indicati ai commi 4, 5, 6 e 7, resteranno a carico del Beneficiario.</w:t>
      </w:r>
      <w:r/>
    </w:p>
    <w:p>
      <w:pPr>
        <w:pStyle w:val="997"/>
        <w:numPr>
          <w:ilvl w:val="0"/>
          <w:numId w:val="20"/>
        </w:numPr>
        <w:pBdr/>
        <w:spacing/>
        <w:ind/>
        <w:rPr/>
      </w:pPr>
      <w:r>
        <w:t xml:space="preserve">Restan</w:t>
      </w:r>
      <w:r>
        <w:t xml:space="preserve">o escluse dall'ammissibilità le spese per ammende, penali e controversie legali, nonché i maggiori oneri derivanti dalla risoluzione delle controversie sorte con l'impresa aggiudicataria, compresi gli accordi bonari e gli interessi per ritardati pagamenti.</w:t>
      </w:r>
      <w:r/>
    </w:p>
    <w:p>
      <w:pPr>
        <w:pStyle w:val="997"/>
        <w:pBdr/>
        <w:spacing/>
        <w:ind/>
        <w:rPr/>
      </w:pPr>
      <w:r>
        <w:t xml:space="preserve">Sono, tuttavia, ammissibili -  ai sensi dell’art. 16, comma 5, del D.P.R. 10 marzo 2025 n. 66</w:t>
      </w:r>
      <w:r>
        <w:rPr>
          <w:b/>
          <w:bCs/>
        </w:rPr>
        <w:t xml:space="preserve"> </w:t>
      </w:r>
      <w:r>
        <w:rPr>
          <w:i/>
          <w:iCs/>
        </w:rPr>
        <w:t xml:space="preserve">“Reg</w:t>
      </w:r>
      <w:r>
        <w:rPr>
          <w:i/>
          <w:iCs/>
        </w:rPr>
        <w:t xml:space="preserve">olamento recante i criteri sull’ammissibilità della spesa per i programmi cofinanziati dai fondi per la politica di coesione e dagli altri fondi europei a gestione concorrente di cui al Regolamento (UE) 2021/1060 per il periodo di programmazione 2021/2027”</w:t>
      </w:r>
      <w:r>
        <w:rPr>
          <w:b/>
          <w:bCs/>
        </w:rPr>
        <w:t xml:space="preserve">- </w:t>
      </w:r>
      <w:r>
        <w:t xml:space="preserve">le spese per consulenze legali, gli oneri e le spese di contenzioso anche non giudiziale, le parcelle notarili, le spese relative a perizie tecniche o finanziarie, nonché le s</w:t>
      </w:r>
      <w:r>
        <w:t xml:space="preserve">pese per contabilità o audit, se direttamente connesse all’operazione cofinanziata e necessarie per la sua preparazione o realizzazione ovvero, nel caso delle spese per contabilità o audit, se sono connesse ai requisiti prescritti dall’Autorità di gestione</w:t>
      </w:r>
      <w:r/>
    </w:p>
    <w:p>
      <w:pPr>
        <w:pStyle w:val="997"/>
        <w:numPr>
          <w:ilvl w:val="0"/>
          <w:numId w:val="20"/>
        </w:numPr>
        <w:pBdr/>
        <w:spacing/>
        <w:ind/>
        <w:rPr/>
      </w:pPr>
      <w:r>
        <w:t xml:space="preserve">L’imposta sul valore aggiunto (IVA) è una spesa ammissibile nei  casi e nei limiti previsti dall'articolo 64, paragrafo 1, lettera c),  punti da i) a iv),  del  regolamento  (UE)  2021/1060.</w:t>
      </w:r>
      <w:r/>
    </w:p>
    <w:p>
      <w:pPr>
        <w:pStyle w:val="997"/>
        <w:numPr>
          <w:ilvl w:val="0"/>
          <w:numId w:val="20"/>
        </w:numPr>
        <w:pBdr/>
        <w:spacing/>
        <w:ind/>
        <w:rPr/>
      </w:pPr>
      <w:r>
        <w:t xml:space="preserve">Sono, altresì, escluse dall’ammissibilità le spese in qualunque modo riconducili alla "gestione" del servizio, ivi comprese le manutenzioni ordinarie e le spese di personale;</w:t>
      </w:r>
      <w:r/>
    </w:p>
    <w:p>
      <w:pPr>
        <w:pStyle w:val="997"/>
        <w:numPr>
          <w:ilvl w:val="0"/>
          <w:numId w:val="20"/>
        </w:numPr>
        <w:pBdr/>
        <w:spacing/>
        <w:ind/>
        <w:rPr/>
      </w:pPr>
      <w:r>
        <w:t xml:space="preserve">Per tutte le spese non specificate nel presente articolo o per la migliore specificazione di quelle indicate, si fa rinvio alle disposizioni di cui alle vigenti disposizioni comunitarie, nazionali e regionali.</w:t>
      </w:r>
      <w:r/>
    </w:p>
    <w:p>
      <w:pPr>
        <w:pStyle w:val="997"/>
        <w:numPr>
          <w:ilvl w:val="0"/>
          <w:numId w:val="20"/>
        </w:numPr>
        <w:pBdr/>
        <w:spacing/>
        <w:ind/>
        <w:rPr/>
      </w:pPr>
      <w:r>
        <w:t xml:space="preserve">Restano in ogni caso escluse e non potranno essere rimborsate tutte le spese non ammissibili a termini delle vigenti disposizioni comunitarie, nazionali e regionali.</w:t>
      </w:r>
      <w:r/>
    </w:p>
    <w:p>
      <w:pPr>
        <w:pStyle w:val="997"/>
        <w:numPr>
          <w:ilvl w:val="0"/>
          <w:numId w:val="20"/>
        </w:numPr>
        <w:pBdr/>
        <w:spacing/>
        <w:ind/>
        <w:rPr/>
      </w:pPr>
      <w:r>
        <w:t xml:space="preserve">Le spese sostenute devono essere documentate, comprovate da fatture quietanzate o da altri documenti contabili aventi forza probante equivalente ed essere sostenute nel periodo di eleggibilità previsto dal Programma.</w:t>
      </w:r>
      <w:r/>
    </w:p>
    <w:p>
      <w:pPr>
        <w:pStyle w:val="997"/>
        <w:pBdr/>
        <w:spacing/>
        <w:ind/>
        <w:rPr/>
      </w:pPr>
      <w:r/>
      <w:r/>
    </w:p>
    <w:p>
      <w:pPr>
        <w:pStyle w:val="997"/>
        <w:pBdr/>
        <w:spacing/>
        <w:ind w:left="2456"/>
        <w:rPr/>
      </w:pPr>
      <w:r>
        <w:rPr>
          <w:color w:val="2d73b4"/>
          <w:spacing w:val="-2"/>
        </w:rPr>
        <w:t xml:space="preserve">Art.</w:t>
      </w:r>
      <w:r>
        <w:rPr>
          <w:color w:val="2d73b4"/>
          <w:spacing w:val="-4"/>
        </w:rPr>
        <w:t xml:space="preserve"> </w:t>
      </w:r>
      <w:r>
        <w:rPr>
          <w:color w:val="2d73b4"/>
          <w:spacing w:val="-2"/>
        </w:rPr>
        <w:t xml:space="preserve">7</w:t>
      </w:r>
      <w:r>
        <w:rPr>
          <w:color w:val="2d73b4"/>
          <w:spacing w:val="-3"/>
        </w:rPr>
        <w:t xml:space="preserve"> </w:t>
      </w:r>
      <w:r>
        <w:rPr>
          <w:color w:val="2d73b4"/>
          <w:spacing w:val="-2"/>
        </w:rPr>
        <w:t xml:space="preserve">–</w:t>
      </w:r>
      <w:r>
        <w:rPr>
          <w:color w:val="2d73b4"/>
          <w:spacing w:val="-3"/>
        </w:rPr>
        <w:t xml:space="preserve"> </w:t>
      </w:r>
      <w:r>
        <w:rPr>
          <w:color w:val="2d73b4"/>
          <w:spacing w:val="-2"/>
        </w:rPr>
        <w:t xml:space="preserve">Modalità</w:t>
      </w:r>
      <w:r>
        <w:rPr>
          <w:color w:val="2d73b4"/>
          <w:spacing w:val="-4"/>
        </w:rPr>
        <w:t xml:space="preserve"> </w:t>
      </w:r>
      <w:r>
        <w:rPr>
          <w:color w:val="2d73b4"/>
          <w:spacing w:val="-2"/>
        </w:rPr>
        <w:t xml:space="preserve">di</w:t>
      </w:r>
      <w:r>
        <w:rPr>
          <w:color w:val="2d73b4"/>
          <w:spacing w:val="-3"/>
        </w:rPr>
        <w:t xml:space="preserve"> </w:t>
      </w:r>
      <w:r>
        <w:rPr>
          <w:color w:val="2d73b4"/>
          <w:spacing w:val="-2"/>
        </w:rPr>
        <w:t xml:space="preserve">erogazione</w:t>
      </w:r>
      <w:r>
        <w:rPr>
          <w:color w:val="2d73b4"/>
          <w:spacing w:val="-3"/>
        </w:rPr>
        <w:t xml:space="preserve"> </w:t>
      </w:r>
      <w:r>
        <w:rPr>
          <w:color w:val="2d73b4"/>
          <w:spacing w:val="-2"/>
        </w:rPr>
        <w:t xml:space="preserve">del</w:t>
      </w:r>
      <w:r>
        <w:rPr>
          <w:color w:val="2d73b4"/>
          <w:spacing w:val="-4"/>
        </w:rPr>
        <w:t xml:space="preserve"> </w:t>
      </w:r>
      <w:r>
        <w:rPr>
          <w:color w:val="2d73b4"/>
          <w:spacing w:val="-2"/>
        </w:rPr>
        <w:t xml:space="preserve">contributo</w:t>
      </w:r>
      <w:r>
        <w:rPr>
          <w:color w:val="2d73b4"/>
          <w:spacing w:val="-3"/>
        </w:rPr>
        <w:t xml:space="preserve"> </w:t>
      </w:r>
      <w:r>
        <w:rPr>
          <w:color w:val="2d73b4"/>
          <w:spacing w:val="-2"/>
        </w:rPr>
        <w:t xml:space="preserve">finanziario</w:t>
      </w:r>
      <w:r/>
    </w:p>
    <w:p>
      <w:pPr>
        <w:pBdr/>
        <w:spacing/>
        <w:ind w:left="861"/>
        <w:rPr>
          <w:b/>
          <w:color w:val="000000" w:themeColor="text1"/>
        </w:rPr>
      </w:pPr>
      <w:r>
        <w:rPr>
          <w:b/>
          <w:color w:val="000000" w:themeColor="text1"/>
        </w:rPr>
        <w:t xml:space="preserve">[Fare riferimento a quanto indicato al punto 4.9 a proposito della forma di sovvenzione utilizzata (art.53, par.1, lett. a), b), c) e d) RDC)]</w:t>
      </w:r>
      <w:r>
        <w:rPr>
          <w:b/>
          <w:color w:val="000000" w:themeColor="text1"/>
        </w:rPr>
      </w:r>
    </w:p>
    <w:p>
      <w:pPr>
        <w:pStyle w:val="998"/>
        <w:numPr>
          <w:ilvl w:val="0"/>
          <w:numId w:val="12"/>
        </w:numPr>
        <w:pBdr/>
        <w:tabs>
          <w:tab w:val="left" w:leader="none" w:pos="859"/>
          <w:tab w:val="left" w:leader="none" w:pos="861"/>
        </w:tabs>
        <w:spacing/>
        <w:ind w:right="150" w:left="861"/>
        <w:rPr/>
      </w:pPr>
      <w:r>
        <w:t xml:space="preserve">L’erogazione delle risorse ai beneficiari avviene tramite un numero predefinito di trasferimenti in anticipazione;</w:t>
      </w:r>
      <w:r>
        <w:rPr>
          <w:spacing w:val="25"/>
        </w:rPr>
        <w:t xml:space="preserve"> </w:t>
      </w:r>
      <w:r>
        <w:t xml:space="preserve">il</w:t>
      </w:r>
      <w:r>
        <w:rPr>
          <w:spacing w:val="25"/>
        </w:rPr>
        <w:t xml:space="preserve"> </w:t>
      </w:r>
      <w:r>
        <w:t xml:space="preserve">trasferimento</w:t>
      </w:r>
      <w:r>
        <w:rPr>
          <w:spacing w:val="25"/>
        </w:rPr>
        <w:t xml:space="preserve"> </w:t>
      </w:r>
      <w:r>
        <w:t xml:space="preserve">di</w:t>
      </w:r>
      <w:r>
        <w:rPr>
          <w:spacing w:val="25"/>
        </w:rPr>
        <w:t xml:space="preserve"> </w:t>
      </w:r>
      <w:r>
        <w:t xml:space="preserve">ogni</w:t>
      </w:r>
      <w:r>
        <w:rPr>
          <w:spacing w:val="25"/>
        </w:rPr>
        <w:t xml:space="preserve"> </w:t>
      </w:r>
      <w:r>
        <w:t xml:space="preserve">anticipazione</w:t>
      </w:r>
      <w:r>
        <w:rPr>
          <w:spacing w:val="25"/>
        </w:rPr>
        <w:t xml:space="preserve"> </w:t>
      </w:r>
      <w:r>
        <w:t xml:space="preserve">è</w:t>
      </w:r>
      <w:r>
        <w:rPr>
          <w:spacing w:val="25"/>
        </w:rPr>
        <w:t xml:space="preserve"> </w:t>
      </w:r>
      <w:r>
        <w:t xml:space="preserve">condizionato</w:t>
      </w:r>
      <w:r>
        <w:rPr>
          <w:spacing w:val="25"/>
        </w:rPr>
        <w:t xml:space="preserve"> </w:t>
      </w:r>
      <w:r>
        <w:t xml:space="preserve">alla</w:t>
      </w:r>
      <w:r>
        <w:rPr>
          <w:spacing w:val="25"/>
        </w:rPr>
        <w:t xml:space="preserve"> </w:t>
      </w:r>
      <w:r>
        <w:t xml:space="preserve">rendicontazione</w:t>
      </w:r>
      <w:r>
        <w:rPr>
          <w:spacing w:val="25"/>
        </w:rPr>
        <w:t xml:space="preserve"> </w:t>
      </w:r>
      <w:r>
        <w:t xml:space="preserve">da</w:t>
      </w:r>
      <w:r>
        <w:rPr>
          <w:spacing w:val="25"/>
        </w:rPr>
        <w:t xml:space="preserve"> </w:t>
      </w:r>
      <w:r>
        <w:t xml:space="preserve">parte</w:t>
      </w:r>
      <w:r/>
      <w:r/>
      <w:r/>
      <w:r/>
    </w:p>
    <w:p>
      <w:pPr>
        <w:pStyle w:val="997"/>
        <w:pBdr/>
        <w:spacing/>
        <w:ind w:right="148" w:left="861"/>
        <w:jc w:val="both"/>
        <w:rPr/>
      </w:pPr>
      <w:r>
        <w:t xml:space="preserve">dei beneficiari per il tramite di Caronte, con il monitoraggio dei dati finanziari, fisici e procedurali registrati e validati sul sistema, del 90% delle risorse anticipate.</w:t>
      </w:r>
      <w:r/>
    </w:p>
    <w:p>
      <w:pPr>
        <w:pStyle w:val="998"/>
        <w:numPr>
          <w:ilvl w:val="0"/>
          <w:numId w:val="12"/>
        </w:numPr>
        <w:pBdr/>
        <w:tabs>
          <w:tab w:val="left" w:leader="none" w:pos="859"/>
          <w:tab w:val="left" w:leader="none" w:pos="861"/>
        </w:tabs>
        <w:spacing/>
        <w:ind w:right="147" w:left="861"/>
        <w:rPr/>
      </w:pPr>
      <w:r>
        <w:t xml:space="preserve">L’erogazione delle risorse per operazioni afferenti ad opere pubbliche e beni e servizi sopra soglia avviene secondo le modalità di seguito indicate:</w:t>
      </w:r>
      <w:r/>
    </w:p>
    <w:p>
      <w:pPr>
        <w:pStyle w:val="998"/>
        <w:numPr>
          <w:ilvl w:val="1"/>
          <w:numId w:val="12"/>
        </w:numPr>
        <w:pBdr/>
        <w:tabs>
          <w:tab w:val="left" w:leader="none" w:pos="861"/>
        </w:tabs>
        <w:spacing w:before="120"/>
        <w:ind w:right="148" w:left="861"/>
        <w:rPr/>
      </w:pPr>
      <w:r>
        <w:t xml:space="preserve">prima rata di anticipazione, la cui percentuale è fi</w:t>
      </w:r>
      <w:r>
        <w:t xml:space="preserve">ssata al 10% del finanziamento concesso, erogata al momento del Decreto di finanziamento e impegno e sottoscrizione del Disciplinare di finanziamento per consentire l’avvio tempestivo dell’operazione in conformità con la norma applicabile alla fattispecie;</w:t>
      </w:r>
      <w:r/>
    </w:p>
    <w:p>
      <w:pPr>
        <w:pStyle w:val="998"/>
        <w:numPr>
          <w:ilvl w:val="1"/>
          <w:numId w:val="12"/>
        </w:numPr>
        <w:pBdr/>
        <w:tabs>
          <w:tab w:val="left" w:leader="none" w:pos="861"/>
        </w:tabs>
        <w:spacing w:before="120"/>
        <w:ind w:right="144" w:left="861"/>
        <w:rPr/>
      </w:pPr>
      <w:r>
        <w:t xml:space="preserve">seconda rata di anticipazione del 20% del finanziamento come rideterminato dall’UCO a seguito di procedura di evidenza pubblica, in coerenza con il Q.T.E. </w:t>
      </w:r>
      <w:r>
        <w:rPr>
          <w:i/>
        </w:rPr>
        <w:t xml:space="preserve">post </w:t>
      </w:r>
      <w:r>
        <w:t xml:space="preserve">gara, erogata successivamente all’aggiudicazione della gara d’appalto dei lavori (ovvero dei beni e servizi,</w:t>
      </w:r>
      <w:r>
        <w:t xml:space="preserve"> ove l’operazione non preveda opere pubbliche). Tale anticipazione, sommata a quella già erogata (prima rata), non deve superare la misura del 30% del finanziamento concesso, come rimodulato a seguito dell’espletamento della procedura ad evidenza pubblica;</w:t>
      </w:r>
      <w:r/>
    </w:p>
    <w:p>
      <w:pPr>
        <w:pStyle w:val="998"/>
        <w:numPr>
          <w:ilvl w:val="1"/>
          <w:numId w:val="12"/>
        </w:numPr>
        <w:pBdr/>
        <w:tabs>
          <w:tab w:val="left" w:leader="none" w:pos="861"/>
        </w:tabs>
        <w:spacing w:before="120"/>
        <w:ind w:right="149" w:left="861"/>
        <w:rPr/>
      </w:pPr>
      <w:r>
        <w:t xml:space="preserve">terza rata di anticipazione del 20% del finanziamento rideterminato, previa rendicontazione del</w:t>
      </w:r>
      <w:r>
        <w:rPr>
          <w:spacing w:val="40"/>
        </w:rPr>
        <w:t xml:space="preserve"> </w:t>
      </w:r>
      <w:r>
        <w:t xml:space="preserve">90% dell'ammontare delle erogazioni complessive già effettuate;</w:t>
      </w:r>
      <w:r/>
    </w:p>
    <w:p>
      <w:pPr>
        <w:pStyle w:val="998"/>
        <w:numPr>
          <w:ilvl w:val="1"/>
          <w:numId w:val="12"/>
        </w:numPr>
        <w:pBdr/>
        <w:tabs>
          <w:tab w:val="left" w:leader="none" w:pos="861"/>
        </w:tabs>
        <w:spacing w:before="120"/>
        <w:ind w:right="150" w:left="861"/>
        <w:rPr/>
      </w:pPr>
      <w:r>
        <w:t xml:space="preserve">quarta rata di anticipazione del 20% del finanziamento rideterminato, previa rendicontazione del 90% dell'ammontare delle erogazioni complessive già effettuate;</w:t>
      </w:r>
      <w:r/>
    </w:p>
    <w:p>
      <w:pPr>
        <w:pStyle w:val="998"/>
        <w:numPr>
          <w:ilvl w:val="1"/>
          <w:numId w:val="12"/>
        </w:numPr>
        <w:pBdr/>
        <w:tabs>
          <w:tab w:val="left" w:leader="none" w:pos="861"/>
        </w:tabs>
        <w:spacing w:before="120"/>
        <w:ind w:right="150" w:left="861"/>
        <w:rPr/>
      </w:pPr>
      <w:r>
        <w:t xml:space="preserve">quinta rata di anticipazione del 20% del finanziamento rideterminato, previa rendicontazione del 90% dell'ammontare delle erogazioni complessive già effettuate.</w:t>
      </w:r>
      <w:r/>
    </w:p>
    <w:p>
      <w:pPr>
        <w:pStyle w:val="997"/>
        <w:pBdr/>
        <w:spacing w:before="5"/>
        <w:ind/>
        <w:rPr>
          <w:sz w:val="9"/>
        </w:rPr>
      </w:pPr>
      <w:r>
        <w:rPr>
          <w:sz w:val="9"/>
        </w:rPr>
      </w:r>
      <w:r>
        <w:rPr>
          <w:sz w:val="9"/>
        </w:rPr>
      </w:r>
    </w:p>
    <w:tbl>
      <w:tblPr>
        <w:tblW w:w="0" w:type="auto"/>
        <w:tblInd w:w="7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127"/>
        <w:gridCol w:w="2126"/>
        <w:gridCol w:w="2126"/>
        <w:gridCol w:w="2126"/>
      </w:tblGrid>
      <w:tr>
        <w:trPr>
          <w:trHeight w:val="998"/>
        </w:trPr>
        <w:tc>
          <w:tcPr>
            <w:tcBorders>
              <w:top w:val="none" w:color="000000" w:sz="4" w:space="0"/>
              <w:left w:val="none" w:color="000000" w:sz="4" w:space="0"/>
            </w:tcBorders>
            <w:tcW w:w="2127" w:type="dxa"/>
            <w:textDirection w:val="lrTb"/>
            <w:noWrap w:val="false"/>
          </w:tcPr>
          <w:p>
            <w:pPr>
              <w:pStyle w:val="999"/>
              <w:pBdr/>
              <w:spacing/>
              <w:ind/>
              <w:rPr>
                <w:rFonts w:ascii="Times New Roman"/>
              </w:rPr>
            </w:pPr>
            <w:r>
              <w:rPr>
                <w:rFonts w:ascii="Times New Roman"/>
              </w:rPr>
            </w:r>
            <w:r>
              <w:rPr>
                <w:rFonts w:ascii="Times New Roman"/>
              </w:rPr>
            </w:r>
          </w:p>
        </w:tc>
        <w:tc>
          <w:tcPr>
            <w:shd w:val="clear" w:color="auto" w:fill="d8d8d8"/>
            <w:tcBorders/>
            <w:tcW w:w="2126" w:type="dxa"/>
            <w:textDirection w:val="lrTb"/>
            <w:noWrap w:val="false"/>
          </w:tcPr>
          <w:p>
            <w:pPr>
              <w:pStyle w:val="999"/>
              <w:pBdr/>
              <w:spacing w:before="251"/>
              <w:ind w:right="319" w:hanging="490" w:left="818"/>
              <w:rPr>
                <w:rFonts w:ascii="Arial"/>
                <w:b/>
              </w:rPr>
            </w:pPr>
            <w:r>
              <w:rPr>
                <w:rFonts w:ascii="Arial"/>
                <w:b/>
                <w:spacing w:val="-2"/>
              </w:rPr>
              <w:t xml:space="preserve">Trasferimento </w:t>
            </w:r>
            <w:r>
              <w:rPr>
                <w:rFonts w:ascii="Arial"/>
                <w:b/>
                <w:spacing w:val="-4"/>
              </w:rPr>
              <w:t xml:space="preserve">UCO</w:t>
            </w:r>
            <w:r>
              <w:rPr>
                <w:rFonts w:ascii="Arial"/>
                <w:b/>
              </w:rPr>
            </w:r>
          </w:p>
        </w:tc>
        <w:tc>
          <w:tcPr>
            <w:shd w:val="clear" w:color="auto" w:fill="d8d8d8"/>
            <w:tcBorders/>
            <w:tcW w:w="2126" w:type="dxa"/>
            <w:textDirection w:val="lrTb"/>
            <w:noWrap w:val="false"/>
          </w:tcPr>
          <w:p>
            <w:pPr>
              <w:pStyle w:val="999"/>
              <w:pBdr/>
              <w:spacing w:before="251"/>
              <w:ind w:hanging="245" w:left="610"/>
              <w:rPr>
                <w:rFonts w:ascii="Arial"/>
                <w:b/>
              </w:rPr>
            </w:pPr>
            <w:r>
              <w:rPr>
                <w:rFonts w:ascii="Arial"/>
                <w:b/>
                <w:spacing w:val="-2"/>
              </w:rPr>
              <w:t xml:space="preserve">Trasferimenti cumulati</w:t>
            </w:r>
            <w:r>
              <w:rPr>
                <w:rFonts w:ascii="Arial"/>
                <w:b/>
              </w:rPr>
            </w:r>
          </w:p>
        </w:tc>
        <w:tc>
          <w:tcPr>
            <w:shd w:val="clear" w:color="auto" w:fill="d8d8d8"/>
            <w:tcBorders/>
            <w:tcW w:w="2126" w:type="dxa"/>
            <w:textDirection w:val="lrTb"/>
            <w:noWrap w:val="false"/>
          </w:tcPr>
          <w:p>
            <w:pPr>
              <w:pStyle w:val="999"/>
              <w:pBdr/>
              <w:spacing w:before="125"/>
              <w:ind w:left="11"/>
              <w:jc w:val="center"/>
              <w:rPr>
                <w:rFonts w:ascii="Arial"/>
                <w:b/>
              </w:rPr>
            </w:pPr>
            <w:r>
              <w:rPr>
                <w:rFonts w:ascii="Arial"/>
                <w:b/>
                <w:spacing w:val="-2"/>
              </w:rPr>
              <w:t xml:space="preserve">Rendicontazione </w:t>
            </w:r>
            <w:r>
              <w:rPr>
                <w:rFonts w:ascii="Arial"/>
                <w:b/>
              </w:rPr>
              <w:t xml:space="preserve">cumulata del </w:t>
            </w:r>
            <w:r>
              <w:rPr>
                <w:rFonts w:ascii="Arial"/>
                <w:b/>
                <w:spacing w:val="-2"/>
              </w:rPr>
              <w:t xml:space="preserve">Beneficiario</w:t>
            </w:r>
            <w:r>
              <w:rPr>
                <w:rFonts w:ascii="Arial"/>
                <w:b/>
              </w:rPr>
            </w:r>
          </w:p>
        </w:tc>
      </w:tr>
      <w:tr>
        <w:trPr>
          <w:trHeight w:val="492"/>
        </w:trPr>
        <w:tc>
          <w:tcPr>
            <w:tcBorders/>
            <w:tcW w:w="2127" w:type="dxa"/>
            <w:textDirection w:val="lrTb"/>
            <w:noWrap w:val="false"/>
          </w:tcPr>
          <w:p>
            <w:pPr>
              <w:pStyle w:val="999"/>
              <w:pBdr/>
              <w:spacing w:before="125"/>
              <w:ind w:left="9"/>
              <w:jc w:val="center"/>
              <w:rPr>
                <w:rFonts w:ascii="Arial"/>
                <w:i/>
              </w:rPr>
            </w:pPr>
            <w:r>
              <w:rPr>
                <w:rFonts w:ascii="Arial"/>
                <w:i/>
              </w:rPr>
              <w:t xml:space="preserve">I </w:t>
            </w:r>
            <w:r>
              <w:rPr>
                <w:rFonts w:ascii="Arial"/>
                <w:i/>
                <w:spacing w:val="-2"/>
              </w:rPr>
              <w:t xml:space="preserve">Anticipazione</w:t>
            </w:r>
            <w:r>
              <w:rPr>
                <w:rFonts w:ascii="Arial"/>
                <w:i/>
              </w:rPr>
            </w:r>
          </w:p>
        </w:tc>
        <w:tc>
          <w:tcPr>
            <w:tcBorders/>
            <w:tcW w:w="2126" w:type="dxa"/>
            <w:textDirection w:val="lrTb"/>
            <w:noWrap w:val="false"/>
          </w:tcPr>
          <w:p>
            <w:pPr>
              <w:pStyle w:val="999"/>
              <w:pBdr/>
              <w:spacing w:before="125"/>
              <w:ind w:left="9"/>
              <w:jc w:val="center"/>
              <w:rPr>
                <w:rFonts w:ascii="Arial MT"/>
              </w:rPr>
            </w:pPr>
            <w:r>
              <w:rPr>
                <w:rFonts w:ascii="Arial MT"/>
                <w:spacing w:val="-5"/>
              </w:rPr>
              <w:t xml:space="preserve">10%</w:t>
            </w:r>
            <w:r>
              <w:rPr>
                <w:rFonts w:ascii="Arial MT"/>
              </w:rPr>
            </w:r>
          </w:p>
        </w:tc>
        <w:tc>
          <w:tcPr>
            <w:tcBorders/>
            <w:tcW w:w="2126" w:type="dxa"/>
            <w:textDirection w:val="lrTb"/>
            <w:noWrap w:val="false"/>
          </w:tcPr>
          <w:p>
            <w:pPr>
              <w:pStyle w:val="999"/>
              <w:pBdr/>
              <w:spacing w:before="125"/>
              <w:ind w:left="9"/>
              <w:jc w:val="center"/>
              <w:rPr>
                <w:rFonts w:ascii="Arial MT"/>
              </w:rPr>
            </w:pPr>
            <w:r>
              <w:rPr>
                <w:rFonts w:ascii="Arial MT"/>
                <w:spacing w:val="-5"/>
              </w:rPr>
              <w:t xml:space="preserve">10%</w:t>
            </w:r>
            <w:r>
              <w:rPr>
                <w:rFonts w:ascii="Arial MT"/>
              </w:rPr>
            </w:r>
          </w:p>
        </w:tc>
        <w:tc>
          <w:tcPr>
            <w:tcBorders/>
            <w:tcW w:w="2126" w:type="dxa"/>
            <w:textDirection w:val="lrTb"/>
            <w:noWrap w:val="false"/>
          </w:tcPr>
          <w:p>
            <w:pPr>
              <w:pStyle w:val="999"/>
              <w:pBdr/>
              <w:spacing w:before="125"/>
              <w:ind w:left="9"/>
              <w:jc w:val="center"/>
              <w:rPr>
                <w:rFonts w:ascii="Arial MT"/>
              </w:rPr>
            </w:pPr>
            <w:r>
              <w:rPr>
                <w:rFonts w:ascii="Arial MT"/>
              </w:rPr>
              <w:t xml:space="preserve">-</w:t>
            </w:r>
            <w:r>
              <w:rPr>
                <w:rFonts w:ascii="Arial MT"/>
              </w:rPr>
            </w:r>
          </w:p>
        </w:tc>
      </w:tr>
      <w:tr>
        <w:trPr>
          <w:trHeight w:val="492"/>
        </w:trPr>
        <w:tc>
          <w:tcPr>
            <w:tcBorders/>
            <w:tcW w:w="2127" w:type="dxa"/>
            <w:textDirection w:val="lrTb"/>
            <w:noWrap w:val="false"/>
          </w:tcPr>
          <w:p>
            <w:pPr>
              <w:pStyle w:val="999"/>
              <w:pBdr/>
              <w:spacing w:before="125"/>
              <w:ind w:left="9"/>
              <w:jc w:val="center"/>
              <w:rPr>
                <w:rFonts w:ascii="Arial"/>
                <w:i/>
              </w:rPr>
            </w:pPr>
            <w:r>
              <w:rPr>
                <w:rFonts w:ascii="Arial"/>
                <w:i/>
              </w:rPr>
              <w:t xml:space="preserve">II</w:t>
            </w:r>
            <w:r>
              <w:rPr>
                <w:rFonts w:ascii="Arial"/>
                <w:i/>
                <w:spacing w:val="-1"/>
              </w:rPr>
              <w:t xml:space="preserve"> </w:t>
            </w:r>
            <w:r>
              <w:rPr>
                <w:rFonts w:ascii="Arial"/>
                <w:i/>
                <w:spacing w:val="-2"/>
              </w:rPr>
              <w:t xml:space="preserve">Anticipazione</w:t>
            </w:r>
            <w:r>
              <w:rPr>
                <w:rFonts w:ascii="Arial"/>
                <w:i/>
              </w:rPr>
            </w:r>
          </w:p>
        </w:tc>
        <w:tc>
          <w:tcPr>
            <w:tcBorders/>
            <w:tcW w:w="2126" w:type="dxa"/>
            <w:textDirection w:val="lrTb"/>
            <w:noWrap w:val="false"/>
          </w:tcPr>
          <w:p>
            <w:pPr>
              <w:pStyle w:val="999"/>
              <w:pBdr/>
              <w:spacing w:before="125"/>
              <w:ind w:left="9"/>
              <w:jc w:val="center"/>
              <w:rPr>
                <w:rFonts w:ascii="Arial MT"/>
              </w:rPr>
            </w:pPr>
            <w:r>
              <w:rPr>
                <w:rFonts w:ascii="Arial MT"/>
                <w:spacing w:val="-5"/>
              </w:rPr>
              <w:t xml:space="preserve">20%</w:t>
            </w:r>
            <w:r>
              <w:rPr>
                <w:rFonts w:ascii="Arial MT"/>
              </w:rPr>
            </w:r>
          </w:p>
        </w:tc>
        <w:tc>
          <w:tcPr>
            <w:tcBorders/>
            <w:tcW w:w="2126" w:type="dxa"/>
            <w:textDirection w:val="lrTb"/>
            <w:noWrap w:val="false"/>
          </w:tcPr>
          <w:p>
            <w:pPr>
              <w:pStyle w:val="999"/>
              <w:pBdr/>
              <w:spacing w:before="125"/>
              <w:ind w:left="9"/>
              <w:jc w:val="center"/>
              <w:rPr>
                <w:rFonts w:ascii="Arial MT"/>
              </w:rPr>
            </w:pPr>
            <w:r>
              <w:rPr>
                <w:rFonts w:ascii="Arial MT"/>
                <w:spacing w:val="-5"/>
              </w:rPr>
              <w:t xml:space="preserve">30%</w:t>
            </w:r>
            <w:r>
              <w:rPr>
                <w:rFonts w:ascii="Arial MT"/>
              </w:rPr>
            </w:r>
          </w:p>
        </w:tc>
        <w:tc>
          <w:tcPr>
            <w:tcBorders/>
            <w:tcW w:w="2126" w:type="dxa"/>
            <w:textDirection w:val="lrTb"/>
            <w:noWrap w:val="false"/>
          </w:tcPr>
          <w:p>
            <w:pPr>
              <w:pStyle w:val="999"/>
              <w:pBdr/>
              <w:spacing w:before="125"/>
              <w:ind w:left="9"/>
              <w:jc w:val="center"/>
              <w:rPr>
                <w:rFonts w:ascii="Arial MT"/>
              </w:rPr>
            </w:pPr>
            <w:r>
              <w:rPr>
                <w:rFonts w:ascii="Arial MT"/>
              </w:rPr>
              <w:t xml:space="preserve">-</w:t>
            </w:r>
            <w:r>
              <w:rPr>
                <w:rFonts w:ascii="Arial MT"/>
              </w:rPr>
            </w:r>
          </w:p>
        </w:tc>
      </w:tr>
      <w:tr>
        <w:trPr>
          <w:trHeight w:val="492"/>
        </w:trPr>
        <w:tc>
          <w:tcPr>
            <w:tcBorders/>
            <w:tcW w:w="2127" w:type="dxa"/>
            <w:textDirection w:val="lrTb"/>
            <w:noWrap w:val="false"/>
          </w:tcPr>
          <w:p>
            <w:pPr>
              <w:pStyle w:val="999"/>
              <w:pBdr/>
              <w:spacing w:before="125"/>
              <w:ind w:left="9"/>
              <w:jc w:val="center"/>
              <w:rPr>
                <w:rFonts w:ascii="Arial"/>
                <w:i/>
              </w:rPr>
            </w:pPr>
            <w:r>
              <w:rPr>
                <w:rFonts w:ascii="Arial"/>
                <w:i/>
              </w:rPr>
              <w:t xml:space="preserve">III</w:t>
            </w:r>
            <w:r>
              <w:rPr>
                <w:rFonts w:ascii="Arial"/>
                <w:i/>
                <w:spacing w:val="-2"/>
              </w:rPr>
              <w:t xml:space="preserve"> Anticipazione</w:t>
            </w:r>
            <w:r>
              <w:rPr>
                <w:rFonts w:ascii="Arial"/>
                <w:i/>
              </w:rPr>
            </w:r>
          </w:p>
        </w:tc>
        <w:tc>
          <w:tcPr>
            <w:tcBorders/>
            <w:tcW w:w="2126" w:type="dxa"/>
            <w:textDirection w:val="lrTb"/>
            <w:noWrap w:val="false"/>
          </w:tcPr>
          <w:p>
            <w:pPr>
              <w:pStyle w:val="999"/>
              <w:pBdr/>
              <w:spacing w:before="125"/>
              <w:ind w:left="9"/>
              <w:jc w:val="center"/>
              <w:rPr>
                <w:rFonts w:ascii="Arial MT"/>
              </w:rPr>
            </w:pPr>
            <w:r>
              <w:rPr>
                <w:rFonts w:ascii="Arial MT"/>
                <w:spacing w:val="-5"/>
              </w:rPr>
              <w:t xml:space="preserve">20%</w:t>
            </w:r>
            <w:r>
              <w:rPr>
                <w:rFonts w:ascii="Arial MT"/>
              </w:rPr>
            </w:r>
          </w:p>
        </w:tc>
        <w:tc>
          <w:tcPr>
            <w:tcBorders/>
            <w:tcW w:w="2126" w:type="dxa"/>
            <w:textDirection w:val="lrTb"/>
            <w:noWrap w:val="false"/>
          </w:tcPr>
          <w:p>
            <w:pPr>
              <w:pStyle w:val="999"/>
              <w:pBdr/>
              <w:spacing w:before="125"/>
              <w:ind w:left="9"/>
              <w:jc w:val="center"/>
              <w:rPr>
                <w:rFonts w:ascii="Arial MT"/>
              </w:rPr>
            </w:pPr>
            <w:r>
              <w:rPr>
                <w:rFonts w:ascii="Arial MT"/>
                <w:spacing w:val="-5"/>
              </w:rPr>
              <w:t xml:space="preserve">50%</w:t>
            </w:r>
            <w:r>
              <w:rPr>
                <w:rFonts w:ascii="Arial MT"/>
              </w:rPr>
            </w:r>
          </w:p>
        </w:tc>
        <w:tc>
          <w:tcPr>
            <w:tcBorders/>
            <w:tcW w:w="2126" w:type="dxa"/>
            <w:textDirection w:val="lrTb"/>
            <w:noWrap w:val="false"/>
          </w:tcPr>
          <w:p>
            <w:pPr>
              <w:pStyle w:val="999"/>
              <w:pBdr/>
              <w:spacing w:before="125"/>
              <w:ind w:left="9"/>
              <w:jc w:val="center"/>
              <w:rPr>
                <w:rFonts w:ascii="Arial MT"/>
              </w:rPr>
            </w:pPr>
            <w:r>
              <w:rPr>
                <w:rFonts w:ascii="Arial MT"/>
                <w:spacing w:val="-5"/>
              </w:rPr>
              <w:t xml:space="preserve">27%</w:t>
            </w:r>
            <w:r>
              <w:rPr>
                <w:rFonts w:ascii="Arial MT"/>
              </w:rPr>
            </w:r>
          </w:p>
        </w:tc>
      </w:tr>
      <w:tr>
        <w:trPr>
          <w:trHeight w:val="492"/>
        </w:trPr>
        <w:tc>
          <w:tcPr>
            <w:tcBorders/>
            <w:tcW w:w="2127" w:type="dxa"/>
            <w:textDirection w:val="lrTb"/>
            <w:noWrap w:val="false"/>
          </w:tcPr>
          <w:p>
            <w:pPr>
              <w:pStyle w:val="999"/>
              <w:pBdr/>
              <w:spacing w:before="125"/>
              <w:ind w:left="9"/>
              <w:jc w:val="center"/>
              <w:rPr>
                <w:rFonts w:ascii="Arial"/>
                <w:i/>
              </w:rPr>
            </w:pPr>
            <w:r>
              <w:rPr>
                <w:rFonts w:ascii="Arial"/>
                <w:i/>
              </w:rPr>
              <w:t xml:space="preserve">IV</w:t>
            </w:r>
            <w:r>
              <w:rPr>
                <w:rFonts w:ascii="Arial"/>
                <w:i/>
                <w:spacing w:val="-1"/>
              </w:rPr>
              <w:t xml:space="preserve"> </w:t>
            </w:r>
            <w:r>
              <w:rPr>
                <w:rFonts w:ascii="Arial"/>
                <w:i/>
                <w:spacing w:val="-2"/>
              </w:rPr>
              <w:t xml:space="preserve">Anticipazione</w:t>
            </w:r>
            <w:r>
              <w:rPr>
                <w:rFonts w:ascii="Arial"/>
                <w:i/>
              </w:rPr>
            </w:r>
          </w:p>
        </w:tc>
        <w:tc>
          <w:tcPr>
            <w:tcBorders/>
            <w:tcW w:w="2126" w:type="dxa"/>
            <w:textDirection w:val="lrTb"/>
            <w:noWrap w:val="false"/>
          </w:tcPr>
          <w:p>
            <w:pPr>
              <w:pStyle w:val="999"/>
              <w:pBdr/>
              <w:spacing w:before="125"/>
              <w:ind w:left="9"/>
              <w:jc w:val="center"/>
              <w:rPr>
                <w:rFonts w:ascii="Arial MT"/>
              </w:rPr>
            </w:pPr>
            <w:r>
              <w:rPr>
                <w:rFonts w:ascii="Arial MT"/>
                <w:spacing w:val="-5"/>
              </w:rPr>
              <w:t xml:space="preserve">20%</w:t>
            </w:r>
            <w:r>
              <w:rPr>
                <w:rFonts w:ascii="Arial MT"/>
              </w:rPr>
            </w:r>
          </w:p>
        </w:tc>
        <w:tc>
          <w:tcPr>
            <w:tcBorders/>
            <w:tcW w:w="2126" w:type="dxa"/>
            <w:textDirection w:val="lrTb"/>
            <w:noWrap w:val="false"/>
          </w:tcPr>
          <w:p>
            <w:pPr>
              <w:pStyle w:val="999"/>
              <w:pBdr/>
              <w:spacing w:before="125"/>
              <w:ind w:left="9"/>
              <w:jc w:val="center"/>
              <w:rPr>
                <w:rFonts w:ascii="Arial MT"/>
              </w:rPr>
            </w:pPr>
            <w:r>
              <w:rPr>
                <w:rFonts w:ascii="Arial MT"/>
                <w:spacing w:val="-5"/>
              </w:rPr>
              <w:t xml:space="preserve">70%</w:t>
            </w:r>
            <w:r>
              <w:rPr>
                <w:rFonts w:ascii="Arial MT"/>
              </w:rPr>
            </w:r>
          </w:p>
        </w:tc>
        <w:tc>
          <w:tcPr>
            <w:tcBorders/>
            <w:tcW w:w="2126" w:type="dxa"/>
            <w:textDirection w:val="lrTb"/>
            <w:noWrap w:val="false"/>
          </w:tcPr>
          <w:p>
            <w:pPr>
              <w:pStyle w:val="999"/>
              <w:pBdr/>
              <w:spacing w:before="125"/>
              <w:ind w:left="9"/>
              <w:jc w:val="center"/>
              <w:rPr>
                <w:rFonts w:ascii="Arial MT"/>
              </w:rPr>
            </w:pPr>
            <w:r>
              <w:rPr>
                <w:rFonts w:ascii="Arial MT"/>
                <w:spacing w:val="-5"/>
              </w:rPr>
              <w:t xml:space="preserve">45%</w:t>
            </w:r>
            <w:r>
              <w:rPr>
                <w:rFonts w:ascii="Arial MT"/>
              </w:rPr>
            </w:r>
          </w:p>
        </w:tc>
      </w:tr>
      <w:tr>
        <w:trPr>
          <w:trHeight w:val="492"/>
        </w:trPr>
        <w:tc>
          <w:tcPr>
            <w:tcBorders/>
            <w:tcW w:w="2127" w:type="dxa"/>
            <w:textDirection w:val="lrTb"/>
            <w:noWrap w:val="false"/>
          </w:tcPr>
          <w:p>
            <w:pPr>
              <w:pStyle w:val="999"/>
              <w:pBdr/>
              <w:spacing w:before="125"/>
              <w:ind w:left="9"/>
              <w:jc w:val="center"/>
              <w:rPr>
                <w:rFonts w:ascii="Arial"/>
                <w:i/>
              </w:rPr>
            </w:pPr>
            <w:r>
              <w:rPr>
                <w:rFonts w:ascii="Arial"/>
                <w:i/>
              </w:rPr>
              <w:t xml:space="preserve">V </w:t>
            </w:r>
            <w:r>
              <w:rPr>
                <w:rFonts w:ascii="Arial"/>
                <w:i/>
                <w:spacing w:val="-2"/>
              </w:rPr>
              <w:t xml:space="preserve">Anticipazione</w:t>
            </w:r>
            <w:r>
              <w:rPr>
                <w:rFonts w:ascii="Arial"/>
                <w:i/>
              </w:rPr>
            </w:r>
          </w:p>
        </w:tc>
        <w:tc>
          <w:tcPr>
            <w:tcBorders/>
            <w:tcW w:w="2126" w:type="dxa"/>
            <w:textDirection w:val="lrTb"/>
            <w:noWrap w:val="false"/>
          </w:tcPr>
          <w:p>
            <w:pPr>
              <w:pStyle w:val="999"/>
              <w:pBdr/>
              <w:spacing w:before="125"/>
              <w:ind w:left="9"/>
              <w:jc w:val="center"/>
              <w:rPr>
                <w:rFonts w:ascii="Arial MT"/>
              </w:rPr>
            </w:pPr>
            <w:r>
              <w:rPr>
                <w:rFonts w:ascii="Arial MT"/>
                <w:spacing w:val="-5"/>
              </w:rPr>
              <w:t xml:space="preserve">20%</w:t>
            </w:r>
            <w:r>
              <w:rPr>
                <w:rFonts w:ascii="Arial MT"/>
              </w:rPr>
            </w:r>
          </w:p>
        </w:tc>
        <w:tc>
          <w:tcPr>
            <w:tcBorders/>
            <w:tcW w:w="2126" w:type="dxa"/>
            <w:textDirection w:val="lrTb"/>
            <w:noWrap w:val="false"/>
          </w:tcPr>
          <w:p>
            <w:pPr>
              <w:pStyle w:val="999"/>
              <w:pBdr/>
              <w:spacing w:before="125"/>
              <w:ind w:left="9"/>
              <w:jc w:val="center"/>
              <w:rPr>
                <w:rFonts w:ascii="Arial MT"/>
              </w:rPr>
            </w:pPr>
            <w:r>
              <w:rPr>
                <w:rFonts w:ascii="Arial MT"/>
                <w:spacing w:val="-5"/>
              </w:rPr>
              <w:t xml:space="preserve">90%</w:t>
            </w:r>
            <w:r>
              <w:rPr>
                <w:rFonts w:ascii="Arial MT"/>
              </w:rPr>
            </w:r>
          </w:p>
        </w:tc>
        <w:tc>
          <w:tcPr>
            <w:tcBorders/>
            <w:tcW w:w="2126" w:type="dxa"/>
            <w:textDirection w:val="lrTb"/>
            <w:noWrap w:val="false"/>
          </w:tcPr>
          <w:p>
            <w:pPr>
              <w:pStyle w:val="999"/>
              <w:pBdr/>
              <w:spacing w:before="125"/>
              <w:ind w:left="9"/>
              <w:jc w:val="center"/>
              <w:rPr>
                <w:rFonts w:ascii="Arial MT"/>
              </w:rPr>
            </w:pPr>
            <w:r>
              <w:rPr>
                <w:rFonts w:ascii="Arial MT"/>
                <w:spacing w:val="-5"/>
              </w:rPr>
              <w:t xml:space="preserve">63%</w:t>
            </w:r>
            <w:r>
              <w:rPr>
                <w:rFonts w:ascii="Arial MT"/>
              </w:rPr>
            </w:r>
          </w:p>
        </w:tc>
      </w:tr>
    </w:tbl>
    <w:p>
      <w:pPr>
        <w:pStyle w:val="997"/>
        <w:pBdr/>
        <w:spacing w:before="250"/>
        <w:ind/>
        <w:rPr/>
      </w:pPr>
      <w:r/>
      <w:r/>
    </w:p>
    <w:p>
      <w:pPr>
        <w:pStyle w:val="997"/>
        <w:pBdr/>
        <w:spacing w:before="1"/>
        <w:ind w:right="147" w:left="141"/>
        <w:jc w:val="both"/>
        <w:rPr/>
      </w:pPr>
      <w:r>
        <w:t xml:space="preserve">Il</w:t>
      </w:r>
      <w:r>
        <w:rPr>
          <w:spacing w:val="-1"/>
        </w:rPr>
        <w:t xml:space="preserve"> </w:t>
      </w:r>
      <w:r>
        <w:t xml:space="preserve">saldo</w:t>
      </w:r>
      <w:r>
        <w:rPr>
          <w:spacing w:val="-1"/>
        </w:rPr>
        <w:t xml:space="preserve"> </w:t>
      </w:r>
      <w:r>
        <w:t xml:space="preserve">finale,</w:t>
      </w:r>
      <w:r>
        <w:rPr>
          <w:spacing w:val="-1"/>
        </w:rPr>
        <w:t xml:space="preserve"> </w:t>
      </w:r>
      <w:r>
        <w:t xml:space="preserve">pari</w:t>
      </w:r>
      <w:r>
        <w:rPr>
          <w:spacing w:val="-1"/>
        </w:rPr>
        <w:t xml:space="preserve"> </w:t>
      </w:r>
      <w:r>
        <w:t xml:space="preserve">al</w:t>
      </w:r>
      <w:r>
        <w:rPr>
          <w:spacing w:val="-1"/>
        </w:rPr>
        <w:t xml:space="preserve"> </w:t>
      </w:r>
      <w:r>
        <w:t xml:space="preserve">valore</w:t>
      </w:r>
      <w:r>
        <w:rPr>
          <w:spacing w:val="-1"/>
        </w:rPr>
        <w:t xml:space="preserve"> </w:t>
      </w:r>
      <w:r>
        <w:t xml:space="preserve">delle</w:t>
      </w:r>
      <w:r>
        <w:rPr>
          <w:spacing w:val="-1"/>
        </w:rPr>
        <w:t xml:space="preserve"> </w:t>
      </w:r>
      <w:r>
        <w:t xml:space="preserve">spese</w:t>
      </w:r>
      <w:r>
        <w:rPr>
          <w:spacing w:val="-1"/>
        </w:rPr>
        <w:t xml:space="preserve"> </w:t>
      </w:r>
      <w:r>
        <w:t xml:space="preserve">ancora</w:t>
      </w:r>
      <w:r>
        <w:rPr>
          <w:spacing w:val="-1"/>
        </w:rPr>
        <w:t xml:space="preserve"> </w:t>
      </w:r>
      <w:r>
        <w:t xml:space="preserve">da</w:t>
      </w:r>
      <w:r>
        <w:rPr>
          <w:spacing w:val="-1"/>
        </w:rPr>
        <w:t xml:space="preserve"> </w:t>
      </w:r>
      <w:r>
        <w:t xml:space="preserve">sostenere,</w:t>
      </w:r>
      <w:r>
        <w:rPr>
          <w:spacing w:val="-1"/>
        </w:rPr>
        <w:t xml:space="preserve"> </w:t>
      </w:r>
      <w:r>
        <w:t xml:space="preserve">può</w:t>
      </w:r>
      <w:r>
        <w:rPr>
          <w:spacing w:val="-1"/>
        </w:rPr>
        <w:t xml:space="preserve"> </w:t>
      </w:r>
      <w:r>
        <w:t xml:space="preserve">essere</w:t>
      </w:r>
      <w:r>
        <w:rPr>
          <w:spacing w:val="-1"/>
        </w:rPr>
        <w:t xml:space="preserve"> </w:t>
      </w:r>
      <w:r>
        <w:t xml:space="preserve">richiesto</w:t>
      </w:r>
      <w:r>
        <w:rPr>
          <w:spacing w:val="-1"/>
        </w:rPr>
        <w:t xml:space="preserve"> </w:t>
      </w:r>
      <w:r>
        <w:t xml:space="preserve">dal</w:t>
      </w:r>
      <w:r>
        <w:rPr>
          <w:spacing w:val="-1"/>
        </w:rPr>
        <w:t xml:space="preserve"> </w:t>
      </w:r>
      <w:r>
        <w:t xml:space="preserve">beneficiario</w:t>
      </w:r>
      <w:r>
        <w:rPr>
          <w:spacing w:val="-1"/>
        </w:rPr>
        <w:t xml:space="preserve"> </w:t>
      </w:r>
      <w:r>
        <w:t xml:space="preserve">solo</w:t>
      </w:r>
      <w:r>
        <w:rPr>
          <w:spacing w:val="-1"/>
        </w:rPr>
        <w:t xml:space="preserve"> </w:t>
      </w:r>
      <w:r>
        <w:t xml:space="preserve">dopo aver rendicontato il 100% della spesa dell’operazione con evidenza di fatture quietanzate o, nel caso di applicazione di OSC, al completamento dell’operazione e con l’avvenuta dimostrazione del rispetto delle condizioni previste per l’erogazione.</w:t>
      </w:r>
      <w:r/>
    </w:p>
    <w:p>
      <w:pPr>
        <w:pStyle w:val="997"/>
        <w:pBdr/>
        <w:spacing w:before="119"/>
        <w:ind/>
        <w:rPr/>
      </w:pPr>
      <w:r/>
      <w:r/>
    </w:p>
    <w:p>
      <w:pPr>
        <w:pStyle w:val="997"/>
        <w:pBdr/>
        <w:spacing w:before="1"/>
        <w:ind w:left="3943"/>
        <w:jc w:val="both"/>
        <w:rPr/>
      </w:pPr>
      <w:r>
        <w:rPr>
          <w:color w:val="2d73b4"/>
        </w:rPr>
        <w:t xml:space="preserve">Art.</w:t>
      </w:r>
      <w:r>
        <w:rPr>
          <w:color w:val="2d73b4"/>
          <w:spacing w:val="-5"/>
        </w:rPr>
        <w:t xml:space="preserve"> </w:t>
      </w:r>
      <w:r>
        <w:rPr>
          <w:color w:val="2d73b4"/>
        </w:rPr>
        <w:t xml:space="preserve">8</w:t>
      </w:r>
      <w:r>
        <w:rPr>
          <w:color w:val="2d73b4"/>
          <w:spacing w:val="-4"/>
        </w:rPr>
        <w:t xml:space="preserve"> </w:t>
      </w:r>
      <w:r>
        <w:rPr>
          <w:color w:val="2d73b4"/>
        </w:rPr>
        <w:t xml:space="preserve">-</w:t>
      </w:r>
      <w:r>
        <w:rPr>
          <w:color w:val="2d73b4"/>
          <w:spacing w:val="-4"/>
        </w:rPr>
        <w:t xml:space="preserve"> </w:t>
      </w:r>
      <w:r>
        <w:rPr>
          <w:color w:val="2d73b4"/>
          <w:spacing w:val="-2"/>
        </w:rPr>
        <w:t xml:space="preserve">Rendicontazione</w:t>
      </w:r>
      <w:r/>
    </w:p>
    <w:p>
      <w:pPr>
        <w:pStyle w:val="998"/>
        <w:numPr>
          <w:ilvl w:val="0"/>
          <w:numId w:val="11"/>
        </w:numPr>
        <w:pBdr/>
        <w:tabs>
          <w:tab w:val="left" w:leader="none" w:pos="849"/>
        </w:tabs>
        <w:spacing/>
        <w:ind w:right="148" w:firstLine="0" w:left="141"/>
        <w:rPr/>
      </w:pPr>
      <w:r>
        <w:t xml:space="preserve">Il Beneficiario è tenuto a rendicontare la spesa sostenuta e quietanzata tramite il sistema di monitoraggio economico, finanzia</w:t>
      </w:r>
      <w:r>
        <w:t xml:space="preserve">rio, fisico e procedurale Caronte, messo a disposizione dalla Regione, utilizzando le credenziali ricevute unitamente alla notifica del Decreto di finanziamento, ovvero attraverso l’utilizzo di appositi moduli di modelli messi a disposizione dalla Regione.</w:t>
      </w:r>
      <w:r/>
    </w:p>
    <w:p>
      <w:pPr>
        <w:pStyle w:val="998"/>
        <w:numPr>
          <w:ilvl w:val="0"/>
          <w:numId w:val="11"/>
        </w:numPr>
        <w:pBdr/>
        <w:tabs>
          <w:tab w:val="left" w:leader="none" w:pos="849"/>
        </w:tabs>
        <w:spacing/>
        <w:ind w:right="149" w:firstLine="0" w:left="141"/>
        <w:rPr/>
      </w:pPr>
      <w:r>
        <w:t xml:space="preserve">Tutte le dichiarazioni previste e richieste per il riconoscimento delle spese e l’erogazione del contributo finanziario devono essere rilasciate dal legale rappresentante del Beneficiario, o da persona da</w:t>
      </w:r>
      <w:r/>
    </w:p>
    <w:p>
      <w:pPr>
        <w:pStyle w:val="997"/>
        <w:pBdr/>
        <w:spacing/>
        <w:ind w:right="147" w:left="0"/>
        <w:rPr/>
      </w:pPr>
      <w:r>
        <w:t xml:space="preserve">questi</w:t>
      </w:r>
      <w:r>
        <w:rPr>
          <w:spacing w:val="-1"/>
        </w:rPr>
        <w:t xml:space="preserve"> </w:t>
      </w:r>
      <w:r>
        <w:t xml:space="preserve">delegata</w:t>
      </w:r>
      <w:r>
        <w:rPr>
          <w:spacing w:val="-1"/>
        </w:rPr>
        <w:t xml:space="preserve"> </w:t>
      </w:r>
      <w:r>
        <w:t xml:space="preserve">con</w:t>
      </w:r>
      <w:r>
        <w:rPr>
          <w:spacing w:val="-1"/>
        </w:rPr>
        <w:t xml:space="preserve"> </w:t>
      </w:r>
      <w:r>
        <w:t xml:space="preserve">apposita</w:t>
      </w:r>
      <w:r>
        <w:rPr>
          <w:spacing w:val="-1"/>
        </w:rPr>
        <w:t xml:space="preserve"> </w:t>
      </w:r>
      <w:r>
        <w:t xml:space="preserve">procura</w:t>
      </w:r>
      <w:r>
        <w:rPr>
          <w:spacing w:val="-1"/>
        </w:rPr>
        <w:t xml:space="preserve"> </w:t>
      </w:r>
      <w:r>
        <w:t xml:space="preserve">–</w:t>
      </w:r>
      <w:r>
        <w:rPr>
          <w:spacing w:val="-1"/>
        </w:rPr>
        <w:t xml:space="preserve"> </w:t>
      </w:r>
      <w:r>
        <w:t xml:space="preserve">da</w:t>
      </w:r>
      <w:r>
        <w:rPr>
          <w:spacing w:val="-1"/>
        </w:rPr>
        <w:t xml:space="preserve"> </w:t>
      </w:r>
      <w:r>
        <w:t xml:space="preserve">allegare</w:t>
      </w:r>
      <w:r>
        <w:rPr>
          <w:spacing w:val="-1"/>
        </w:rPr>
        <w:t xml:space="preserve"> </w:t>
      </w:r>
      <w:r>
        <w:t xml:space="preserve">in</w:t>
      </w:r>
      <w:r>
        <w:rPr>
          <w:spacing w:val="-1"/>
        </w:rPr>
        <w:t xml:space="preserve"> </w:t>
      </w:r>
      <w:r>
        <w:t xml:space="preserve">originale</w:t>
      </w:r>
      <w:r>
        <w:rPr>
          <w:spacing w:val="-1"/>
        </w:rPr>
        <w:t xml:space="preserve"> </w:t>
      </w:r>
      <w:r>
        <w:t xml:space="preserve">o</w:t>
      </w:r>
      <w:r>
        <w:rPr>
          <w:spacing w:val="-1"/>
        </w:rPr>
        <w:t xml:space="preserve"> </w:t>
      </w:r>
      <w:r>
        <w:t xml:space="preserve">copia</w:t>
      </w:r>
      <w:r>
        <w:rPr>
          <w:spacing w:val="-1"/>
        </w:rPr>
        <w:t xml:space="preserve"> </w:t>
      </w:r>
      <w:r>
        <w:t xml:space="preserve">conforme</w:t>
      </w:r>
      <w:r>
        <w:rPr>
          <w:spacing w:val="-1"/>
        </w:rPr>
        <w:t xml:space="preserve"> </w:t>
      </w:r>
      <w:r>
        <w:t xml:space="preserve">all’attestazione</w:t>
      </w:r>
      <w:r>
        <w:rPr>
          <w:spacing w:val="-1"/>
        </w:rPr>
        <w:t xml:space="preserve"> </w:t>
      </w:r>
      <w:r>
        <w:t xml:space="preserve">–</w:t>
      </w:r>
      <w:r>
        <w:rPr>
          <w:spacing w:val="-1"/>
        </w:rPr>
        <w:t xml:space="preserve"> </w:t>
      </w:r>
      <w:r>
        <w:t xml:space="preserve">ai</w:t>
      </w:r>
      <w:r>
        <w:rPr>
          <w:spacing w:val="-1"/>
        </w:rPr>
        <w:t xml:space="preserve"> </w:t>
      </w:r>
      <w:r>
        <w:t xml:space="preserve">sensi</w:t>
      </w:r>
      <w:r>
        <w:rPr>
          <w:spacing w:val="-1"/>
        </w:rPr>
        <w:t xml:space="preserve"> </w:t>
      </w:r>
      <w:r>
        <w:t xml:space="preserve">e con le modalità di cui al D.P.R. n. 445/2000 e </w:t>
      </w:r>
      <w:r>
        <w:t xml:space="preserve">s.m.i..</w:t>
      </w:r>
      <w:r/>
    </w:p>
    <w:p>
      <w:pPr>
        <w:pStyle w:val="997"/>
        <w:pBdr/>
        <w:spacing/>
        <w:ind/>
        <w:rPr/>
      </w:pPr>
      <w:r/>
      <w:r/>
    </w:p>
    <w:p>
      <w:pPr>
        <w:pStyle w:val="997"/>
        <w:pBdr/>
        <w:spacing/>
        <w:ind w:left="4080"/>
        <w:jc w:val="both"/>
        <w:rPr/>
      </w:pPr>
      <w:r>
        <w:rPr>
          <w:color w:val="2d73b4"/>
        </w:rPr>
        <w:t xml:space="preserve">Art.</w:t>
      </w:r>
      <w:r>
        <w:rPr>
          <w:color w:val="2d73b4"/>
          <w:spacing w:val="-5"/>
        </w:rPr>
        <w:t xml:space="preserve"> </w:t>
      </w:r>
      <w:r>
        <w:rPr>
          <w:color w:val="2d73b4"/>
        </w:rPr>
        <w:t xml:space="preserve">9</w:t>
      </w:r>
      <w:r>
        <w:rPr>
          <w:color w:val="2d73b4"/>
          <w:spacing w:val="-4"/>
        </w:rPr>
        <w:t xml:space="preserve"> </w:t>
      </w:r>
      <w:r>
        <w:rPr>
          <w:color w:val="2d73b4"/>
        </w:rPr>
        <w:t xml:space="preserve">-</w:t>
      </w:r>
      <w:r>
        <w:rPr>
          <w:color w:val="2d73b4"/>
          <w:spacing w:val="-4"/>
        </w:rPr>
        <w:t xml:space="preserve"> </w:t>
      </w:r>
      <w:r>
        <w:rPr>
          <w:color w:val="2d73b4"/>
          <w:spacing w:val="-2"/>
        </w:rPr>
        <w:t xml:space="preserve">Monitoraggio</w:t>
      </w:r>
      <w:r/>
    </w:p>
    <w:p>
      <w:pPr>
        <w:pStyle w:val="998"/>
        <w:numPr>
          <w:ilvl w:val="0"/>
          <w:numId w:val="10"/>
        </w:numPr>
        <w:pBdr/>
        <w:tabs>
          <w:tab w:val="left" w:leader="none" w:pos="849"/>
        </w:tabs>
        <w:spacing/>
        <w:ind w:right="148" w:firstLine="0" w:left="141"/>
        <w:rPr/>
      </w:pPr>
      <w:r>
        <w:t xml:space="preserve">Il Beneficiario provvede a fornire alla Regione i dati economici, finanziari, fisici e procedurali relativi alle varie fasi di realizzazione dell'Operazione, imputando gli stessi ne</w:t>
      </w:r>
      <w:r>
        <w:t xml:space="preserve">l sistema di monitoraggio economico, finanziario, fisico e procedurale Caronte con le credenziali ricevute unitamente alla notifica del Decreto di finanziamento, ovvero attraverso l’utilizzo di appositi moduli di modelli messi a disposizione dalla Regione.</w:t>
      </w:r>
      <w:r/>
    </w:p>
    <w:p>
      <w:pPr>
        <w:pStyle w:val="998"/>
        <w:numPr>
          <w:ilvl w:val="0"/>
          <w:numId w:val="10"/>
        </w:numPr>
        <w:pBdr/>
        <w:tabs>
          <w:tab w:val="left" w:leader="none" w:pos="849"/>
        </w:tabs>
        <w:spacing/>
        <w:ind w:right="146" w:firstLine="0" w:left="141"/>
        <w:rPr/>
      </w:pPr>
      <w:r>
        <w:t xml:space="preserve">Il Beneficiario si impegna a caricare nella sezione documentale del sistema di monitoraggio economico, finanziario, fisico e procedurale Caronte tutti gli atti e la documentazione relativi</w:t>
      </w:r>
      <w:r>
        <w:rPr>
          <w:spacing w:val="40"/>
        </w:rPr>
        <w:t xml:space="preserve"> </w:t>
      </w:r>
      <w:r>
        <w:t xml:space="preserve">all’Operazione, compresa l’intera documentazione giustificativa della spesa.</w:t>
      </w:r>
      <w:r/>
    </w:p>
    <w:p>
      <w:pPr>
        <w:pStyle w:val="998"/>
        <w:numPr>
          <w:ilvl w:val="0"/>
          <w:numId w:val="10"/>
        </w:numPr>
        <w:pBdr/>
        <w:tabs>
          <w:tab w:val="left" w:leader="none" w:pos="849"/>
        </w:tabs>
        <w:spacing/>
        <w:ind w:right="147" w:firstLine="0" w:left="141"/>
        <w:rPr/>
      </w:pPr>
      <w:r>
        <w:t xml:space="preserve">il Beneficiario è tenuto a comunicare,</w:t>
      </w:r>
      <w:r>
        <w:rPr>
          <w:spacing w:val="40"/>
        </w:rPr>
        <w:t xml:space="preserve"> </w:t>
      </w:r>
      <w:r>
        <w:t xml:space="preserve">nei termini previsti dal Manuale di monitoraggio, alla</w:t>
      </w:r>
      <w:r>
        <w:rPr>
          <w:spacing w:val="40"/>
        </w:rPr>
        <w:t xml:space="preserve"> </w:t>
      </w:r>
      <w:r>
        <w:t xml:space="preserve">Regione i dati economici, finanziari, fisici e procedurali relativi alle varie fasi di realizzazione</w:t>
      </w:r>
      <w:r>
        <w:rPr>
          <w:spacing w:val="40"/>
        </w:rPr>
        <w:t xml:space="preserve"> </w:t>
      </w:r>
      <w:r>
        <w:t xml:space="preserve">dell'Operazione, nonché gli atti e la documentazione progettuale relativi alla stessa, compresa l’intera documentazione giustificativa della spesa, con le modalità di cui ai precedenti commi</w:t>
      </w:r>
      <w:r>
        <w:rPr>
          <w:spacing w:val="40"/>
        </w:rPr>
        <w:t xml:space="preserve"> </w:t>
      </w:r>
      <w:r>
        <w:t xml:space="preserve">1 e 2, per garantire alla Regione il rispetto degli obblighi e impegni di monit</w:t>
      </w:r>
      <w:r>
        <w:t xml:space="preserve">oraggio nei confronti dello Stato e dell’UE. Nell’eventualità che per 12 (dodici) mesi consecutivi non sia stato registrato alcun avanzamento della spesa e non sia intervenuta alcuna comunicazione formale in ordine alle motivazioni del mancato avanzamento,</w:t>
      </w:r>
      <w:r>
        <w:rPr>
          <w:spacing w:val="40"/>
        </w:rPr>
        <w:t xml:space="preserve"> </w:t>
      </w:r>
      <w:r>
        <w:t xml:space="preserve">la Regione, previo invito a ottemperare agli obblighi di cui ai precedenti commi 1 e 2, procede alla revoca del contributo finanziario e al recupero delle eventuali somme già versate.</w:t>
      </w:r>
      <w:r/>
    </w:p>
    <w:p>
      <w:pPr>
        <w:pStyle w:val="998"/>
        <w:numPr>
          <w:ilvl w:val="0"/>
          <w:numId w:val="10"/>
        </w:numPr>
        <w:pBdr/>
        <w:tabs>
          <w:tab w:val="left" w:leader="none" w:pos="849"/>
        </w:tabs>
        <w:spacing/>
        <w:ind w:right="147" w:firstLine="0" w:left="141"/>
        <w:rPr/>
      </w:pPr>
      <w:r>
        <w:t xml:space="preserve">La reg</w:t>
      </w:r>
      <w:r>
        <w:t xml:space="preserve">olare trasmissione dei dati di monitoraggio di cui ai precedenti commi 1, 2 e 3 costituisce condizione necessaria per l’erogazione, da parte della Regione, delle quote del contributo finanziario così come disciplinato dall’art. 7 del presente Disciplinare.</w:t>
      </w:r>
      <w:r/>
    </w:p>
    <w:p>
      <w:pPr>
        <w:pStyle w:val="998"/>
        <w:numPr>
          <w:ilvl w:val="0"/>
          <w:numId w:val="10"/>
        </w:numPr>
        <w:pBdr/>
        <w:tabs>
          <w:tab w:val="left" w:leader="none" w:pos="849"/>
        </w:tabs>
        <w:spacing/>
        <w:ind w:right="148" w:firstLine="0" w:left="141"/>
        <w:rPr/>
      </w:pPr>
      <w:r>
        <w:t xml:space="preserve">La trasmissione puntuale dei d</w:t>
      </w:r>
      <w:r>
        <w:t xml:space="preserve">ati di monitoraggio di cui ai precedenti commi 1, 2 e 3, costituisce altresì condizione per accedere a eventuali istituti premiali previsti da successivi Avvisi, in rispondenza e conformità alla disciplina comunitaria, nazionale e regionale di riferimento.</w:t>
      </w:r>
      <w:r/>
    </w:p>
    <w:p>
      <w:pPr>
        <w:pStyle w:val="997"/>
        <w:pBdr/>
        <w:spacing/>
        <w:ind/>
        <w:rPr/>
      </w:pPr>
      <w:r/>
      <w:r/>
    </w:p>
    <w:p>
      <w:pPr>
        <w:pStyle w:val="997"/>
        <w:pBdr/>
        <w:spacing/>
        <w:ind w:left="2465"/>
        <w:jc w:val="both"/>
        <w:rPr/>
      </w:pPr>
      <w:r>
        <w:rPr>
          <w:color w:val="2d73b4"/>
          <w:spacing w:val="-2"/>
        </w:rPr>
        <w:t xml:space="preserve">Art.</w:t>
      </w:r>
      <w:r>
        <w:rPr>
          <w:color w:val="2d73b4"/>
          <w:spacing w:val="-3"/>
        </w:rPr>
        <w:t xml:space="preserve"> </w:t>
      </w:r>
      <w:r>
        <w:rPr>
          <w:color w:val="2d73b4"/>
          <w:spacing w:val="-2"/>
        </w:rPr>
        <w:t xml:space="preserve">10</w:t>
      </w:r>
      <w:r>
        <w:rPr>
          <w:color w:val="2d73b4"/>
          <w:spacing w:val="-3"/>
        </w:rPr>
        <w:t xml:space="preserve"> </w:t>
      </w:r>
      <w:r>
        <w:rPr>
          <w:color w:val="2d73b4"/>
          <w:spacing w:val="-2"/>
        </w:rPr>
        <w:t xml:space="preserve">–</w:t>
      </w:r>
      <w:r>
        <w:rPr>
          <w:color w:val="2d73b4"/>
          <w:spacing w:val="-3"/>
        </w:rPr>
        <w:t xml:space="preserve"> </w:t>
      </w:r>
      <w:r>
        <w:rPr>
          <w:color w:val="2d73b4"/>
          <w:spacing w:val="-2"/>
        </w:rPr>
        <w:t xml:space="preserve">Modalità</w:t>
      </w:r>
      <w:r>
        <w:rPr>
          <w:color w:val="2d73b4"/>
          <w:spacing w:val="-3"/>
        </w:rPr>
        <w:t xml:space="preserve"> </w:t>
      </w:r>
      <w:r>
        <w:rPr>
          <w:color w:val="2d73b4"/>
          <w:spacing w:val="-2"/>
        </w:rPr>
        <w:t xml:space="preserve">di</w:t>
      </w:r>
      <w:r>
        <w:rPr>
          <w:color w:val="2d73b4"/>
          <w:spacing w:val="-3"/>
        </w:rPr>
        <w:t xml:space="preserve"> </w:t>
      </w:r>
      <w:r>
        <w:rPr>
          <w:color w:val="2d73b4"/>
          <w:spacing w:val="-2"/>
        </w:rPr>
        <w:t xml:space="preserve">conservazione</w:t>
      </w:r>
      <w:r>
        <w:rPr>
          <w:color w:val="2d73b4"/>
          <w:spacing w:val="-3"/>
        </w:rPr>
        <w:t xml:space="preserve"> </w:t>
      </w:r>
      <w:r>
        <w:rPr>
          <w:color w:val="2d73b4"/>
          <w:spacing w:val="-2"/>
        </w:rPr>
        <w:t xml:space="preserve">della</w:t>
      </w:r>
      <w:r>
        <w:rPr>
          <w:color w:val="2d73b4"/>
          <w:spacing w:val="-3"/>
        </w:rPr>
        <w:t xml:space="preserve"> </w:t>
      </w:r>
      <w:r>
        <w:rPr>
          <w:color w:val="2d73b4"/>
          <w:spacing w:val="-2"/>
        </w:rPr>
        <w:t xml:space="preserve">documentazione</w:t>
      </w:r>
      <w:r/>
    </w:p>
    <w:p>
      <w:pPr>
        <w:pStyle w:val="998"/>
        <w:numPr>
          <w:ilvl w:val="0"/>
          <w:numId w:val="9"/>
        </w:numPr>
        <w:pBdr/>
        <w:tabs>
          <w:tab w:val="left" w:leader="none" w:pos="849"/>
        </w:tabs>
        <w:spacing/>
        <w:ind w:right="147" w:firstLine="0" w:left="141"/>
        <w:rPr/>
      </w:pPr>
      <w:r>
        <w:t xml:space="preserve">Il Beneficiario è tenuto a conservare i documenti sotto forma di originali o di copie autenticate, in formato cartaceo o elettronico, su supporti per i dati comunemente accettati, in rispondenza agli obblighi</w:t>
      </w:r>
      <w:r>
        <w:rPr>
          <w:spacing w:val="40"/>
        </w:rPr>
        <w:t xml:space="preserve"> </w:t>
      </w:r>
      <w:r>
        <w:t xml:space="preserve">di formazione, trattamento, trasmissione e conservazione dei documenti previsti dalla disciplina nazionale applicabile al Beneficiario medesimo. Tali documenti sono, inoltre, conservati in una forma tale da consentire l'identificazi</w:t>
      </w:r>
      <w:r>
        <w:t xml:space="preserve">one delle persone interessate solo per il periodo necessario al conseguimento delle finalità per le quali i dati sono rilevati o successivamente trattati, nel rispetto della normativa in materia di tutela della privacy vigente (D.Lgs n. 196/2003 e s.m.i.).</w:t>
      </w:r>
      <w:r/>
    </w:p>
    <w:p>
      <w:pPr>
        <w:pStyle w:val="998"/>
        <w:numPr>
          <w:ilvl w:val="0"/>
          <w:numId w:val="9"/>
        </w:numPr>
        <w:pBdr/>
        <w:tabs>
          <w:tab w:val="left" w:leader="none" w:pos="849"/>
        </w:tabs>
        <w:spacing/>
        <w:ind w:right="146" w:firstLine="0" w:left="141"/>
        <w:rPr/>
      </w:pPr>
      <w:r>
        <w:t xml:space="preserve">Il</w:t>
      </w:r>
      <w:r>
        <w:rPr>
          <w:spacing w:val="-2"/>
        </w:rPr>
        <w:t xml:space="preserve"> </w:t>
      </w:r>
      <w:r>
        <w:t xml:space="preserve">Beneficiario</w:t>
      </w:r>
      <w:r>
        <w:rPr>
          <w:spacing w:val="-2"/>
        </w:rPr>
        <w:t xml:space="preserve"> </w:t>
      </w:r>
      <w:r>
        <w:t xml:space="preserve">che</w:t>
      </w:r>
      <w:r>
        <w:rPr>
          <w:spacing w:val="-2"/>
        </w:rPr>
        <w:t xml:space="preserve"> </w:t>
      </w:r>
      <w:r>
        <w:t xml:space="preserve">utilizza</w:t>
      </w:r>
      <w:r>
        <w:rPr>
          <w:spacing w:val="-2"/>
        </w:rPr>
        <w:t xml:space="preserve"> </w:t>
      </w:r>
      <w:r>
        <w:t xml:space="preserve">sistemi</w:t>
      </w:r>
      <w:r>
        <w:rPr>
          <w:spacing w:val="-2"/>
        </w:rPr>
        <w:t xml:space="preserve"> </w:t>
      </w:r>
      <w:r>
        <w:t xml:space="preserve">di</w:t>
      </w:r>
      <w:r>
        <w:rPr>
          <w:spacing w:val="-2"/>
        </w:rPr>
        <w:t xml:space="preserve"> </w:t>
      </w:r>
      <w:r>
        <w:t xml:space="preserve">archiviazione</w:t>
      </w:r>
      <w:r>
        <w:rPr>
          <w:spacing w:val="-2"/>
        </w:rPr>
        <w:t xml:space="preserve"> </w:t>
      </w:r>
      <w:r>
        <w:t xml:space="preserve">elettronica</w:t>
      </w:r>
      <w:r>
        <w:rPr>
          <w:spacing w:val="-2"/>
        </w:rPr>
        <w:t xml:space="preserve"> </w:t>
      </w:r>
      <w:r>
        <w:t xml:space="preserve">o</w:t>
      </w:r>
      <w:r>
        <w:rPr>
          <w:spacing w:val="-2"/>
        </w:rPr>
        <w:t xml:space="preserve"> </w:t>
      </w:r>
      <w:r>
        <w:t xml:space="preserve">di</w:t>
      </w:r>
      <w:r>
        <w:rPr>
          <w:spacing w:val="-2"/>
        </w:rPr>
        <w:t xml:space="preserve"> </w:t>
      </w:r>
      <w:r>
        <w:t xml:space="preserve">elaborazione</w:t>
      </w:r>
      <w:r>
        <w:rPr>
          <w:spacing w:val="-2"/>
        </w:rPr>
        <w:t xml:space="preserve"> </w:t>
      </w:r>
      <w:r>
        <w:t xml:space="preserve">delle</w:t>
      </w:r>
      <w:r>
        <w:rPr>
          <w:spacing w:val="-2"/>
        </w:rPr>
        <w:t xml:space="preserve"> </w:t>
      </w:r>
      <w:r>
        <w:t xml:space="preserve">immagini</w:t>
      </w:r>
      <w:r>
        <w:rPr>
          <w:spacing w:val="-2"/>
        </w:rPr>
        <w:t xml:space="preserve"> </w:t>
      </w:r>
      <w:r>
        <w:t xml:space="preserve">(ossia che effettuano scansioni dei documenti originali e li archiviano in forma elettronica) deve organizzare e garantire che: ciascun documento elettronico scannerizzato</w:t>
      </w:r>
      <w:r>
        <w:t xml:space="preserve"> sia identico all’originale cartaceo, sia impossibile scannerizzare lo stesso documento cartaceo per produrre documenti elettronici diversi, ciascun documento elettronico resti unico e non possa essere riutilizzato per uno scopo diverso da quello iniziale.</w:t>
      </w:r>
      <w:r>
        <w:rPr>
          <w:spacing w:val="40"/>
        </w:rPr>
        <w:t xml:space="preserve"> </w:t>
      </w:r>
      <w:r>
        <w:t xml:space="preserve">La procedura di approvazione, contabile e di pagamento deve essere unica </w:t>
      </w:r>
      <w:r>
        <w:t xml:space="preserve">per ciascun documento elettronico. Non deve essere possibile approvare, contabilizzare o pagare lo stesso documento elettronico più volte. Una volta sottoposti a scansione, deve essere impossibile modificare i documenti elettronici o creare copie alterate.</w:t>
      </w:r>
      <w:r/>
    </w:p>
    <w:p>
      <w:pPr>
        <w:pStyle w:val="998"/>
        <w:numPr>
          <w:ilvl w:val="0"/>
          <w:numId w:val="9"/>
        </w:numPr>
        <w:pBdr/>
        <w:tabs>
          <w:tab w:val="left" w:leader="none" w:pos="849"/>
        </w:tabs>
        <w:spacing/>
        <w:ind w:right="149" w:firstLine="0" w:left="141"/>
        <w:rPr/>
      </w:pPr>
      <w:r>
        <w:t xml:space="preserve">Il Beneficiario è tenuto a garantire l’archiviazione dei documenti relativi all’Operazione al fine di consentire, anche successivamente alla chiusura dell’Operazione medesima:</w:t>
      </w:r>
      <w:r/>
    </w:p>
    <w:p>
      <w:pPr>
        <w:pStyle w:val="998"/>
        <w:numPr>
          <w:ilvl w:val="1"/>
          <w:numId w:val="9"/>
        </w:numPr>
        <w:pBdr/>
        <w:tabs>
          <w:tab w:val="left" w:leader="none" w:pos="861"/>
        </w:tabs>
        <w:spacing/>
        <w:ind w:left="861"/>
        <w:jc w:val="left"/>
        <w:rPr/>
      </w:pPr>
      <w:r>
        <w:t xml:space="preserve">una</w:t>
      </w:r>
      <w:r>
        <w:rPr>
          <w:spacing w:val="-3"/>
        </w:rPr>
        <w:t xml:space="preserve"> </w:t>
      </w:r>
      <w:r>
        <w:t xml:space="preserve">chiara</w:t>
      </w:r>
      <w:r>
        <w:rPr>
          <w:spacing w:val="-2"/>
        </w:rPr>
        <w:t xml:space="preserve"> </w:t>
      </w:r>
      <w:r>
        <w:t xml:space="preserve">ricostruzione</w:t>
      </w:r>
      <w:r>
        <w:rPr>
          <w:spacing w:val="-3"/>
        </w:rPr>
        <w:t xml:space="preserve"> </w:t>
      </w:r>
      <w:r>
        <w:t xml:space="preserve">dei</w:t>
      </w:r>
      <w:r>
        <w:rPr>
          <w:spacing w:val="-2"/>
        </w:rPr>
        <w:t xml:space="preserve"> </w:t>
      </w:r>
      <w:r>
        <w:t xml:space="preserve">dati</w:t>
      </w:r>
      <w:r>
        <w:rPr>
          <w:spacing w:val="-3"/>
        </w:rPr>
        <w:t xml:space="preserve"> </w:t>
      </w:r>
      <w:r>
        <w:t xml:space="preserve">di</w:t>
      </w:r>
      <w:r>
        <w:rPr>
          <w:spacing w:val="-2"/>
        </w:rPr>
        <w:t xml:space="preserve"> </w:t>
      </w:r>
      <w:r>
        <w:t xml:space="preserve">spesa</w:t>
      </w:r>
      <w:r>
        <w:rPr>
          <w:spacing w:val="-3"/>
        </w:rPr>
        <w:t xml:space="preserve"> </w:t>
      </w:r>
      <w:r>
        <w:t xml:space="preserve">e</w:t>
      </w:r>
      <w:r>
        <w:rPr>
          <w:spacing w:val="-2"/>
        </w:rPr>
        <w:t xml:space="preserve"> </w:t>
      </w:r>
      <w:r>
        <w:t xml:space="preserve">dei</w:t>
      </w:r>
      <w:r>
        <w:rPr>
          <w:spacing w:val="-3"/>
        </w:rPr>
        <w:t xml:space="preserve"> </w:t>
      </w:r>
      <w:r>
        <w:t xml:space="preserve">documenti</w:t>
      </w:r>
      <w:r>
        <w:rPr>
          <w:spacing w:val="-2"/>
        </w:rPr>
        <w:t xml:space="preserve"> dell’Operazione;</w:t>
      </w:r>
      <w:r/>
    </w:p>
    <w:p>
      <w:pPr>
        <w:pStyle w:val="998"/>
        <w:numPr>
          <w:ilvl w:val="1"/>
          <w:numId w:val="9"/>
        </w:numPr>
        <w:pBdr/>
        <w:tabs>
          <w:tab w:val="left" w:leader="none" w:pos="861"/>
        </w:tabs>
        <w:spacing/>
        <w:ind w:left="861"/>
        <w:jc w:val="left"/>
        <w:rPr/>
      </w:pPr>
      <w:r>
        <w:t xml:space="preserve">la</w:t>
      </w:r>
      <w:r>
        <w:rPr>
          <w:spacing w:val="-4"/>
        </w:rPr>
        <w:t xml:space="preserve"> </w:t>
      </w:r>
      <w:r>
        <w:t xml:space="preserve">riconciliazione</w:t>
      </w:r>
      <w:r>
        <w:rPr>
          <w:spacing w:val="-4"/>
        </w:rPr>
        <w:t xml:space="preserve"> </w:t>
      </w:r>
      <w:r>
        <w:t xml:space="preserve">dei</w:t>
      </w:r>
      <w:r>
        <w:rPr>
          <w:spacing w:val="-4"/>
        </w:rPr>
        <w:t xml:space="preserve"> </w:t>
      </w:r>
      <w:r>
        <w:t xml:space="preserve">documenti</w:t>
      </w:r>
      <w:r>
        <w:rPr>
          <w:spacing w:val="-3"/>
        </w:rPr>
        <w:t xml:space="preserve"> </w:t>
      </w:r>
      <w:r>
        <w:t xml:space="preserve">di</w:t>
      </w:r>
      <w:r>
        <w:rPr>
          <w:spacing w:val="-4"/>
        </w:rPr>
        <w:t xml:space="preserve"> </w:t>
      </w:r>
      <w:r>
        <w:t xml:space="preserve">spesa</w:t>
      </w:r>
      <w:r>
        <w:rPr>
          <w:spacing w:val="-4"/>
        </w:rPr>
        <w:t xml:space="preserve"> </w:t>
      </w:r>
      <w:r>
        <w:t xml:space="preserve">con</w:t>
      </w:r>
      <w:r>
        <w:rPr>
          <w:spacing w:val="-3"/>
        </w:rPr>
        <w:t xml:space="preserve"> </w:t>
      </w:r>
      <w:r>
        <w:t xml:space="preserve">ogni</w:t>
      </w:r>
      <w:r>
        <w:rPr>
          <w:spacing w:val="-4"/>
        </w:rPr>
        <w:t xml:space="preserve"> </w:t>
      </w:r>
      <w:r>
        <w:t xml:space="preserve">richiesta</w:t>
      </w:r>
      <w:r>
        <w:rPr>
          <w:spacing w:val="-4"/>
        </w:rPr>
        <w:t xml:space="preserve"> </w:t>
      </w:r>
      <w:r>
        <w:t xml:space="preserve">di</w:t>
      </w:r>
      <w:r>
        <w:rPr>
          <w:spacing w:val="-3"/>
        </w:rPr>
        <w:t xml:space="preserve"> </w:t>
      </w:r>
      <w:r>
        <w:rPr>
          <w:spacing w:val="-2"/>
        </w:rPr>
        <w:t xml:space="preserve">rimborso.</w:t>
      </w:r>
      <w:r/>
    </w:p>
    <w:p>
      <w:pPr>
        <w:pStyle w:val="998"/>
        <w:numPr>
          <w:ilvl w:val="0"/>
          <w:numId w:val="9"/>
        </w:numPr>
        <w:pBdr/>
        <w:tabs>
          <w:tab w:val="left" w:leader="none" w:pos="849"/>
        </w:tabs>
        <w:spacing/>
        <w:ind w:right="147" w:firstLine="0" w:left="141"/>
        <w:rPr/>
      </w:pPr>
      <w:r>
        <w:t xml:space="preserve">Come già indicato all’art. 2, comma 1 lett. S e T del presente Disciplinare, il Beneficiario deve conservare e rendere disponibile la documentazione relativa all’Operazione, nei modi e per le finalità di cui </w:t>
      </w:r>
      <w:r/>
      <w:r>
        <w:t xml:space="preserve">al presente articolo, per un periodo di cinque ann</w:t>
      </w:r>
      <w:r>
        <w:t xml:space="preserve">i a decorrere dal 31 dicembre dell’anno in cui è effettuato l’ultimo pagamento dell’autorità di gestione al beneficiario, nonché deve consentire le verifiche in loco, a favore delle autorità di controllo regionali, nazionali e UE, ai sensi dell’art.82 RDC.</w:t>
      </w:r>
      <w:r/>
      <w:r/>
    </w:p>
    <w:p>
      <w:pPr>
        <w:pStyle w:val="997"/>
        <w:pBdr/>
        <w:spacing/>
        <w:ind/>
        <w:rPr/>
      </w:pPr>
      <w:r/>
      <w:r/>
    </w:p>
    <w:p>
      <w:pPr>
        <w:pStyle w:val="997"/>
        <w:pBdr/>
        <w:spacing/>
        <w:ind w:left="4225"/>
        <w:jc w:val="both"/>
        <w:rPr/>
      </w:pPr>
      <w:r>
        <w:rPr>
          <w:color w:val="2d73b4"/>
        </w:rPr>
        <w:t xml:space="preserve">Art.</w:t>
      </w:r>
      <w:r>
        <w:rPr>
          <w:color w:val="2d73b4"/>
          <w:spacing w:val="-5"/>
        </w:rPr>
        <w:t xml:space="preserve"> </w:t>
      </w:r>
      <w:r>
        <w:rPr>
          <w:color w:val="2d73b4"/>
        </w:rPr>
        <w:t xml:space="preserve">11</w:t>
      </w:r>
      <w:r>
        <w:rPr>
          <w:color w:val="2d73b4"/>
          <w:spacing w:val="-5"/>
        </w:rPr>
        <w:t xml:space="preserve"> </w:t>
      </w:r>
      <w:r>
        <w:rPr>
          <w:color w:val="2d73b4"/>
        </w:rPr>
        <w:t xml:space="preserve">–</w:t>
      </w:r>
      <w:r>
        <w:rPr>
          <w:color w:val="2d73b4"/>
          <w:spacing w:val="-4"/>
        </w:rPr>
        <w:t xml:space="preserve"> </w:t>
      </w:r>
      <w:r>
        <w:rPr>
          <w:color w:val="2d73b4"/>
          <w:spacing w:val="-2"/>
        </w:rPr>
        <w:t xml:space="preserve">Controlli</w:t>
      </w:r>
      <w:r/>
    </w:p>
    <w:p>
      <w:pPr>
        <w:pStyle w:val="998"/>
        <w:numPr>
          <w:ilvl w:val="0"/>
          <w:numId w:val="8"/>
        </w:numPr>
        <w:pBdr/>
        <w:tabs>
          <w:tab w:val="left" w:leader="none" w:pos="849"/>
        </w:tabs>
        <w:spacing/>
        <w:ind w:right="147" w:firstLine="0" w:left="141"/>
        <w:rPr/>
      </w:pPr>
      <w:r>
        <w:t xml:space="preserve">La Regione si riserva il diritto di esercitare, in ogni tempo e con le modalità che riterr</w:t>
      </w:r>
      <w:r>
        <w:t xml:space="preserve">à opportune, verifiche e controlli sull'avanzamento finanziario, procedurale e fisico dell'Operazione. Tali verifiche non sollevano, in ogni caso, il Beneficiario dalla piena ed esclusiva responsabilità della regolare e perfetta esecuzione dell’Operazione.</w:t>
      </w:r>
      <w:r/>
    </w:p>
    <w:p>
      <w:pPr>
        <w:pStyle w:val="998"/>
        <w:numPr>
          <w:ilvl w:val="0"/>
          <w:numId w:val="8"/>
        </w:numPr>
        <w:pBdr/>
        <w:tabs>
          <w:tab w:val="left" w:leader="none" w:pos="849"/>
        </w:tabs>
        <w:spacing/>
        <w:ind w:right="146" w:firstLine="0" w:left="141"/>
        <w:rPr/>
      </w:pPr>
      <w:r>
        <w:t xml:space="preserve">La Regione rimane estranea ad ogni rapporto comunque nascente con terzi in dipendenza della realizzazione dell’Operazione.</w:t>
      </w:r>
      <w:r/>
    </w:p>
    <w:p>
      <w:pPr>
        <w:pStyle w:val="998"/>
        <w:numPr>
          <w:ilvl w:val="0"/>
          <w:numId w:val="8"/>
        </w:numPr>
        <w:pBdr/>
        <w:tabs>
          <w:tab w:val="left" w:leader="none" w:pos="849"/>
        </w:tabs>
        <w:spacing/>
        <w:ind w:right="147" w:firstLine="0" w:left="141"/>
        <w:rPr/>
      </w:pPr>
      <w:r>
        <w:t xml:space="preserve">In cas</w:t>
      </w:r>
      <w:r>
        <w:t xml:space="preserve">o di accertamento, in sede di controllo, del mancato pieno rispetto delle discipline comunitarie, nazionali e regionali, anche se non penalmente rilevanti, si procederà alla revoca del contributo finanziario e al recupero delle eventuali somme già erogate.</w:t>
      </w:r>
      <w:r/>
    </w:p>
    <w:p>
      <w:pPr>
        <w:pStyle w:val="998"/>
        <w:numPr>
          <w:ilvl w:val="0"/>
          <w:numId w:val="8"/>
        </w:numPr>
        <w:pBdr/>
        <w:tabs>
          <w:tab w:val="left" w:leader="none" w:pos="849"/>
        </w:tabs>
        <w:spacing/>
        <w:ind w:right="147" w:firstLine="0" w:left="141"/>
        <w:rPr/>
      </w:pPr>
      <w:r>
        <w:t xml:space="preserve">L'Operazione</w:t>
      </w:r>
      <w:r>
        <w:rPr>
          <w:spacing w:val="-2"/>
        </w:rPr>
        <w:t xml:space="preserve"> </w:t>
      </w:r>
      <w:r>
        <w:t xml:space="preserve">ammessa</w:t>
      </w:r>
      <w:r>
        <w:rPr>
          <w:spacing w:val="-2"/>
        </w:rPr>
        <w:t xml:space="preserve"> </w:t>
      </w:r>
      <w:r>
        <w:t xml:space="preserve">a</w:t>
      </w:r>
      <w:r>
        <w:rPr>
          <w:spacing w:val="-2"/>
        </w:rPr>
        <w:t xml:space="preserve"> </w:t>
      </w:r>
      <w:r>
        <w:t xml:space="preserve">contribuzione</w:t>
      </w:r>
      <w:r>
        <w:rPr>
          <w:spacing w:val="-2"/>
        </w:rPr>
        <w:t xml:space="preserve"> </w:t>
      </w:r>
      <w:r>
        <w:t xml:space="preserve">finanziaria</w:t>
      </w:r>
      <w:r>
        <w:rPr>
          <w:spacing w:val="-2"/>
        </w:rPr>
        <w:t xml:space="preserve"> </w:t>
      </w:r>
      <w:r>
        <w:t xml:space="preserve">è</w:t>
      </w:r>
      <w:r>
        <w:rPr>
          <w:spacing w:val="-2"/>
        </w:rPr>
        <w:t xml:space="preserve"> </w:t>
      </w:r>
      <w:r>
        <w:t xml:space="preserve">soggetta</w:t>
      </w:r>
      <w:r>
        <w:rPr>
          <w:spacing w:val="-2"/>
        </w:rPr>
        <w:t xml:space="preserve"> </w:t>
      </w:r>
      <w:r>
        <w:t xml:space="preserve">alle</w:t>
      </w:r>
      <w:r>
        <w:rPr>
          <w:spacing w:val="-2"/>
        </w:rPr>
        <w:t xml:space="preserve"> </w:t>
      </w:r>
      <w:r>
        <w:t xml:space="preserve">verifiche</w:t>
      </w:r>
      <w:r>
        <w:rPr>
          <w:spacing w:val="-2"/>
        </w:rPr>
        <w:t xml:space="preserve"> </w:t>
      </w:r>
      <w:r>
        <w:t xml:space="preserve">ed</w:t>
      </w:r>
      <w:r>
        <w:rPr>
          <w:spacing w:val="-2"/>
        </w:rPr>
        <w:t xml:space="preserve"> </w:t>
      </w:r>
      <w:r>
        <w:t xml:space="preserve">agli</w:t>
      </w:r>
      <w:r>
        <w:rPr>
          <w:spacing w:val="-2"/>
        </w:rPr>
        <w:t xml:space="preserve"> </w:t>
      </w:r>
      <w:r>
        <w:t xml:space="preserve">eventuali</w:t>
      </w:r>
      <w:r>
        <w:rPr>
          <w:spacing w:val="-2"/>
        </w:rPr>
        <w:t xml:space="preserve"> </w:t>
      </w:r>
      <w:r>
        <w:t xml:space="preserve">collaudi tecnici specifici prescritti per legge o per contratto, in relazione alla particolare natura della stessa e delle attività/progetti ivi previste.</w:t>
      </w:r>
      <w:r/>
    </w:p>
    <w:p>
      <w:pPr>
        <w:pStyle w:val="997"/>
        <w:pBdr/>
        <w:spacing/>
        <w:ind/>
        <w:rPr/>
      </w:pPr>
      <w:r/>
      <w:r/>
    </w:p>
    <w:p>
      <w:pPr>
        <w:pStyle w:val="997"/>
        <w:pBdr/>
        <w:spacing/>
        <w:ind w:left="3701"/>
        <w:jc w:val="both"/>
        <w:rPr/>
      </w:pPr>
      <w:r>
        <w:rPr>
          <w:color w:val="2d73b4"/>
        </w:rPr>
        <w:t xml:space="preserve">Art.</w:t>
      </w:r>
      <w:r>
        <w:rPr>
          <w:color w:val="2d73b4"/>
          <w:spacing w:val="-11"/>
        </w:rPr>
        <w:t xml:space="preserve"> </w:t>
      </w:r>
      <w:r>
        <w:rPr>
          <w:color w:val="2d73b4"/>
        </w:rPr>
        <w:t xml:space="preserve">12</w:t>
      </w:r>
      <w:r>
        <w:rPr>
          <w:color w:val="2d73b4"/>
          <w:spacing w:val="-11"/>
        </w:rPr>
        <w:t xml:space="preserve"> </w:t>
      </w:r>
      <w:r>
        <w:rPr>
          <w:color w:val="2d73b4"/>
        </w:rPr>
        <w:t xml:space="preserve">–</w:t>
      </w:r>
      <w:r>
        <w:rPr>
          <w:color w:val="2d73b4"/>
          <w:spacing w:val="-11"/>
        </w:rPr>
        <w:t xml:space="preserve"> </w:t>
      </w:r>
      <w:r>
        <w:rPr>
          <w:color w:val="2d73b4"/>
        </w:rPr>
        <w:t xml:space="preserve">Disponibilità</w:t>
      </w:r>
      <w:r>
        <w:rPr>
          <w:color w:val="2d73b4"/>
          <w:spacing w:val="-11"/>
        </w:rPr>
        <w:t xml:space="preserve"> </w:t>
      </w:r>
      <w:r>
        <w:rPr>
          <w:color w:val="2d73b4"/>
        </w:rPr>
        <w:t xml:space="preserve">dei</w:t>
      </w:r>
      <w:r>
        <w:rPr>
          <w:color w:val="2d73b4"/>
          <w:spacing w:val="-11"/>
        </w:rPr>
        <w:t xml:space="preserve"> </w:t>
      </w:r>
      <w:r>
        <w:rPr>
          <w:color w:val="2d73b4"/>
          <w:spacing w:val="-4"/>
        </w:rPr>
        <w:t xml:space="preserve">dati</w:t>
      </w:r>
      <w:r/>
    </w:p>
    <w:p>
      <w:pPr>
        <w:pStyle w:val="998"/>
        <w:numPr>
          <w:ilvl w:val="0"/>
          <w:numId w:val="7"/>
        </w:numPr>
        <w:pBdr/>
        <w:tabs>
          <w:tab w:val="left" w:leader="none" w:pos="849"/>
        </w:tabs>
        <w:spacing/>
        <w:ind w:right="149" w:firstLine="0" w:left="141"/>
        <w:rPr/>
      </w:pPr>
      <w:r>
        <w:t xml:space="preserve">I dati relativi all’attuazione dell’Operazione, così come riportati nel sistema di monitoraggio economico, finanziario, fisico e procedurale Caronte, saranno resi disponibili per gli organi istituzionali deputati al monitoraggio e al controllo.</w:t>
      </w:r>
      <w:r/>
    </w:p>
    <w:p>
      <w:pPr>
        <w:pStyle w:val="998"/>
        <w:numPr>
          <w:ilvl w:val="0"/>
          <w:numId w:val="7"/>
        </w:numPr>
        <w:pBdr/>
        <w:tabs>
          <w:tab w:val="left" w:leader="none" w:pos="849"/>
        </w:tabs>
        <w:spacing/>
        <w:ind w:right="146" w:firstLine="0" w:left="141"/>
        <w:rPr/>
      </w:pPr>
      <w:r>
        <w:t xml:space="preserve">Il Beneficiario si impegna a comunicare la circostanza di cui al precedente comma 1 ai Soggetti attuatori, esecutori a qualsiasi titolo e prestatori di servizio, fornitori e subcontraenti.</w:t>
      </w:r>
      <w:r/>
    </w:p>
    <w:p>
      <w:pPr>
        <w:pStyle w:val="998"/>
        <w:numPr>
          <w:ilvl w:val="0"/>
          <w:numId w:val="7"/>
        </w:numPr>
        <w:pBdr/>
        <w:tabs>
          <w:tab w:val="left" w:leader="none" w:pos="849"/>
        </w:tabs>
        <w:spacing/>
        <w:ind w:right="149" w:firstLine="0" w:left="141"/>
        <w:rPr/>
      </w:pPr>
      <w:r>
        <w:t xml:space="preserve">I dati generali relativi all’Operazione e al relativo stato di avanzamento saranno resi disponibili al </w:t>
      </w:r>
      <w:r>
        <w:rPr>
          <w:spacing w:val="-2"/>
        </w:rPr>
        <w:t xml:space="preserve">pubblico.</w:t>
      </w:r>
      <w:r/>
    </w:p>
    <w:p>
      <w:pPr>
        <w:pStyle w:val="997"/>
        <w:pBdr/>
        <w:spacing/>
        <w:ind/>
        <w:rPr/>
      </w:pPr>
      <w:r/>
      <w:r/>
    </w:p>
    <w:p>
      <w:pPr>
        <w:pStyle w:val="997"/>
        <w:pBdr/>
        <w:spacing/>
        <w:ind w:left="3561"/>
        <w:jc w:val="both"/>
        <w:rPr/>
      </w:pPr>
      <w:r>
        <w:rPr>
          <w:color w:val="2d73b4"/>
        </w:rPr>
        <w:t xml:space="preserve">Art.</w:t>
      </w:r>
      <w:r>
        <w:rPr>
          <w:color w:val="2d73b4"/>
          <w:spacing w:val="-11"/>
        </w:rPr>
        <w:t xml:space="preserve"> </w:t>
      </w:r>
      <w:r>
        <w:rPr>
          <w:color w:val="2d73b4"/>
        </w:rPr>
        <w:t xml:space="preserve">13</w:t>
      </w:r>
      <w:r>
        <w:rPr>
          <w:color w:val="2d73b4"/>
          <w:spacing w:val="-11"/>
        </w:rPr>
        <w:t xml:space="preserve"> </w:t>
      </w:r>
      <w:r>
        <w:rPr>
          <w:color w:val="2d73b4"/>
        </w:rPr>
        <w:t xml:space="preserve">-</w:t>
      </w:r>
      <w:r>
        <w:rPr>
          <w:color w:val="2d73b4"/>
          <w:spacing w:val="-11"/>
        </w:rPr>
        <w:t xml:space="preserve"> </w:t>
      </w:r>
      <w:r>
        <w:rPr>
          <w:color w:val="2d73b4"/>
        </w:rPr>
        <w:t xml:space="preserve">Stabilità</w:t>
      </w:r>
      <w:r>
        <w:rPr>
          <w:color w:val="2d73b4"/>
          <w:spacing w:val="-11"/>
        </w:rPr>
        <w:t xml:space="preserve"> </w:t>
      </w:r>
      <w:r>
        <w:rPr>
          <w:color w:val="2d73b4"/>
          <w:spacing w:val="-2"/>
        </w:rPr>
        <w:t xml:space="preserve">dell’operazione</w:t>
      </w:r>
      <w:r/>
    </w:p>
    <w:p>
      <w:pPr>
        <w:pStyle w:val="998"/>
        <w:numPr>
          <w:ilvl w:val="0"/>
          <w:numId w:val="6"/>
        </w:numPr>
        <w:pBdr/>
        <w:tabs>
          <w:tab w:val="left" w:leader="none" w:pos="849"/>
        </w:tabs>
        <w:spacing/>
        <w:ind w:right="148" w:firstLine="0" w:left="141"/>
        <w:rPr/>
      </w:pPr>
      <w:r>
        <w:t xml:space="preserve">Ai sensi e </w:t>
      </w:r>
      <w:r>
        <w:t xml:space="preserve">per gli effetti dell’art. 65 del Regolamento (UE) n. 2021/1060, l’Operazione ammessa a contribuzione finanziaria, pena il recupero del contributo finanziario accordato, per i dieci anni successivi al suo completamento non deve subire modifiche sostanziali:</w:t>
      </w:r>
      <w:r/>
    </w:p>
    <w:p>
      <w:pPr>
        <w:pStyle w:val="998"/>
        <w:numPr>
          <w:ilvl w:val="1"/>
          <w:numId w:val="6"/>
        </w:numPr>
        <w:pBdr/>
        <w:tabs>
          <w:tab w:val="left" w:leader="none" w:pos="861"/>
        </w:tabs>
        <w:spacing/>
        <w:ind w:right="147" w:left="861"/>
        <w:rPr/>
      </w:pPr>
      <w:r>
        <w:t xml:space="preserve">che ne alterino la natura o le modalità di esecuzione, o che procurino un vantaggio indebito ad un’impresa o a un ente pubblico;</w:t>
      </w:r>
      <w:r/>
    </w:p>
    <w:p>
      <w:pPr>
        <w:pStyle w:val="998"/>
        <w:numPr>
          <w:ilvl w:val="1"/>
          <w:numId w:val="6"/>
        </w:numPr>
        <w:pBdr/>
        <w:tabs>
          <w:tab w:val="left" w:leader="none" w:pos="861"/>
        </w:tabs>
        <w:spacing/>
        <w:ind w:right="147" w:left="861"/>
        <w:rPr/>
      </w:pPr>
      <w:r>
        <w:t xml:space="preserve">che siano il risultato di un cambiamento nella natura della proprietà di una infrastruttura o della cessazione di una attività produttiva.</w:t>
      </w:r>
      <w:r/>
    </w:p>
    <w:p>
      <w:pPr>
        <w:pStyle w:val="998"/>
        <w:numPr>
          <w:ilvl w:val="0"/>
          <w:numId w:val="6"/>
        </w:numPr>
        <w:pBdr/>
        <w:tabs>
          <w:tab w:val="left" w:leader="none" w:pos="849"/>
        </w:tabs>
        <w:spacing/>
        <w:ind w:right="150" w:firstLine="0" w:left="141"/>
        <w:rPr/>
      </w:pPr>
      <w:r>
        <w:t xml:space="preserve">Gli importi indebitamente versati in relazione all'Operazione saranno recuperati dalla Regione in proporzione al periodo per il quale i predetti requisiti non sono stati soddisfatti.</w:t>
      </w:r>
      <w:r/>
    </w:p>
    <w:p>
      <w:pPr>
        <w:pStyle w:val="997"/>
        <w:pBdr/>
        <w:spacing/>
        <w:ind/>
        <w:rPr/>
      </w:pPr>
      <w:r/>
      <w:r/>
    </w:p>
    <w:p>
      <w:pPr>
        <w:pStyle w:val="997"/>
        <w:pBdr/>
        <w:spacing/>
        <w:ind w:left="3463"/>
        <w:jc w:val="both"/>
        <w:rPr/>
      </w:pPr>
      <w:r>
        <w:rPr>
          <w:color w:val="2d73b4"/>
        </w:rPr>
        <w:t xml:space="preserve">Art.</w:t>
      </w:r>
      <w:r>
        <w:rPr>
          <w:color w:val="2d73b4"/>
          <w:spacing w:val="-11"/>
        </w:rPr>
        <w:t xml:space="preserve"> </w:t>
      </w:r>
      <w:r>
        <w:rPr>
          <w:color w:val="2d73b4"/>
        </w:rPr>
        <w:t xml:space="preserve">14</w:t>
      </w:r>
      <w:r>
        <w:rPr>
          <w:color w:val="2d73b4"/>
          <w:spacing w:val="-10"/>
        </w:rPr>
        <w:t xml:space="preserve"> </w:t>
      </w:r>
      <w:r>
        <w:rPr>
          <w:color w:val="2d73b4"/>
        </w:rPr>
        <w:t xml:space="preserve">–</w:t>
      </w:r>
      <w:r>
        <w:rPr>
          <w:color w:val="2d73b4"/>
          <w:spacing w:val="-10"/>
        </w:rPr>
        <w:t xml:space="preserve"> </w:t>
      </w:r>
      <w:r>
        <w:rPr>
          <w:color w:val="2d73b4"/>
        </w:rPr>
        <w:t xml:space="preserve">Variazioni</w:t>
      </w:r>
      <w:r>
        <w:rPr>
          <w:color w:val="2d73b4"/>
          <w:spacing w:val="-10"/>
        </w:rPr>
        <w:t xml:space="preserve"> </w:t>
      </w:r>
      <w:r>
        <w:rPr>
          <w:color w:val="2d73b4"/>
          <w:spacing w:val="-2"/>
        </w:rPr>
        <w:t xml:space="preserve">dell’operazione</w:t>
      </w:r>
      <w:r/>
    </w:p>
    <w:p>
      <w:pPr>
        <w:pStyle w:val="998"/>
        <w:numPr>
          <w:ilvl w:val="0"/>
          <w:numId w:val="5"/>
        </w:numPr>
        <w:pBdr/>
        <w:tabs>
          <w:tab w:val="left" w:leader="none" w:pos="849"/>
        </w:tabs>
        <w:spacing/>
        <w:ind w:right="148" w:firstLine="0" w:left="141"/>
        <w:rPr/>
      </w:pPr>
      <w:r>
        <w:t xml:space="preserve">A norma dell’art. 65 del CPR, il beneficiario non può apportare modifiche sostanziali </w:t>
      </w:r>
      <w:r>
        <w:t xml:space="preserve">all’operazione intendendosi come modifiche sostanziali quelle che alterino la natura, gli obiettivi o le condizioni di attuazione dell’operazione, con il risultato di comprometterne gli obiettivi originari e la piena funzionalità dell’operazione sostenuta.</w:t>
      </w:r>
      <w:r/>
    </w:p>
    <w:p>
      <w:pPr>
        <w:pStyle w:val="998"/>
        <w:numPr>
          <w:ilvl w:val="0"/>
          <w:numId w:val="5"/>
        </w:numPr>
        <w:pBdr/>
        <w:tabs>
          <w:tab w:val="left" w:leader="none" w:pos="849"/>
        </w:tabs>
        <w:spacing/>
        <w:ind w:right="148" w:firstLine="0" w:left="141"/>
        <w:rPr/>
      </w:pPr>
      <w:r>
        <w:t xml:space="preserve">Le variazioni dell’operazione possono interessare sia l’operazione nella sua complessità che i contratti pub</w:t>
      </w:r>
      <w:r>
        <w:t xml:space="preserve">blici stipulati per la relativa attuazione e devono essere richieste dal beneficiario e approvate con decreto del CdR a prescindere dalla circostanza che comportino o meno una modifica/variazione dei contratti pubblici stipulati per la relativa attuazione.</w:t>
      </w:r>
      <w:r/>
    </w:p>
    <w:p>
      <w:pPr>
        <w:pStyle w:val="998"/>
        <w:numPr>
          <w:ilvl w:val="0"/>
          <w:numId w:val="5"/>
        </w:numPr>
        <w:pBdr/>
        <w:tabs>
          <w:tab w:val="left" w:leader="none" w:pos="849"/>
        </w:tabs>
        <w:spacing/>
        <w:ind w:right="147" w:firstLine="0" w:left="141"/>
        <w:rPr/>
      </w:pPr>
      <w:r>
        <w:t xml:space="preserve">le variazioni dell’operazione devono essere richieste dal beneficiario all’UCO con istanza adeguatamente motivata che dia altresì atto che la variazione richiesta non altera gli obiettivi originari dell’operazione</w:t>
      </w:r>
      <w:r>
        <w:rPr>
          <w:spacing w:val="40"/>
        </w:rPr>
        <w:t xml:space="preserve"> </w:t>
      </w:r>
      <w:r>
        <w:t xml:space="preserve">medesima,</w:t>
      </w:r>
      <w:r>
        <w:rPr>
          <w:spacing w:val="40"/>
        </w:rPr>
        <w:t xml:space="preserve"> </w:t>
      </w:r>
      <w:r>
        <w:t xml:space="preserve">non</w:t>
      </w:r>
      <w:r>
        <w:rPr>
          <w:spacing w:val="40"/>
        </w:rPr>
        <w:t xml:space="preserve"> </w:t>
      </w:r>
      <w:r>
        <w:t xml:space="preserve">condiziona</w:t>
      </w:r>
      <w:r>
        <w:rPr>
          <w:spacing w:val="40"/>
        </w:rPr>
        <w:t xml:space="preserve"> </w:t>
      </w:r>
      <w:r>
        <w:t xml:space="preserve">il</w:t>
      </w:r>
      <w:r>
        <w:rPr>
          <w:spacing w:val="40"/>
        </w:rPr>
        <w:t xml:space="preserve"> </w:t>
      </w:r>
      <w:r>
        <w:t xml:space="preserve">conseguimento</w:t>
      </w:r>
      <w:r>
        <w:rPr>
          <w:spacing w:val="40"/>
        </w:rPr>
        <w:t xml:space="preserve"> </w:t>
      </w:r>
      <w:r>
        <w:t xml:space="preserve">degli</w:t>
      </w:r>
      <w:r>
        <w:rPr>
          <w:spacing w:val="40"/>
        </w:rPr>
        <w:t xml:space="preserve"> </w:t>
      </w:r>
      <w:r>
        <w:t xml:space="preserve">obiettivi</w:t>
      </w:r>
      <w:r>
        <w:rPr>
          <w:spacing w:val="40"/>
        </w:rPr>
        <w:t xml:space="preserve"> </w:t>
      </w:r>
      <w:r>
        <w:t xml:space="preserve">specifici</w:t>
      </w:r>
      <w:r>
        <w:rPr>
          <w:spacing w:val="40"/>
        </w:rPr>
        <w:t xml:space="preserve"> </w:t>
      </w:r>
      <w:r>
        <w:t xml:space="preserve">del</w:t>
      </w:r>
      <w:r>
        <w:rPr>
          <w:spacing w:val="40"/>
        </w:rPr>
        <w:t xml:space="preserve"> </w:t>
      </w:r>
      <w:r>
        <w:t xml:space="preserve">PR,</w:t>
      </w:r>
      <w:r>
        <w:rPr>
          <w:spacing w:val="40"/>
        </w:rPr>
        <w:t xml:space="preserve"> </w:t>
      </w:r>
      <w:r>
        <w:t xml:space="preserve">non</w:t>
      </w:r>
      <w:r>
        <w:rPr>
          <w:spacing w:val="40"/>
        </w:rPr>
        <w:t xml:space="preserve"> </w:t>
      </w:r>
      <w:r>
        <w:t xml:space="preserve">incide </w:t>
      </w:r>
      <w:r/>
      <w:r>
        <w:t xml:space="preserve">n</w:t>
      </w:r>
      <w:r>
        <w:t xml:space="preserve">egativamente su profili ed elementi dell’operazione già oggetto di valutazione in sede di ammissione a finanziamento e risulta conforme alle previsioni delle pertinenti disposizioni normative comunitarie, nazionali e regionali applicabili ratione temporis.</w:t>
      </w:r>
      <w:r/>
      <w:r/>
    </w:p>
    <w:p>
      <w:pPr>
        <w:pStyle w:val="998"/>
        <w:numPr>
          <w:ilvl w:val="0"/>
          <w:numId w:val="5"/>
        </w:numPr>
        <w:pBdr/>
        <w:tabs>
          <w:tab w:val="left" w:leader="none" w:pos="849"/>
        </w:tabs>
        <w:spacing/>
        <w:ind w:right="148" w:firstLine="0" w:left="141"/>
        <w:rPr/>
      </w:pPr>
      <w:r>
        <w:t xml:space="preserve">Le eventuali varianti in corso d’opera che potranno interessare </w:t>
      </w:r>
      <w:r>
        <w:t xml:space="preserve">le operazioni finanziate devono fare esclusivo riferimento alle casistiche individuate dall’art. 106 del D. Lgs. 50/2016 e s.m.i. (Modifica di contratti durante il periodo di efficacia) e dall’art. 120 del D.Lgs. 36/2023(Modifica dei contratti in corso di </w:t>
      </w:r>
      <w:r>
        <w:rPr>
          <w:spacing w:val="-2"/>
        </w:rPr>
        <w:t xml:space="preserve">esecuzione).</w:t>
      </w:r>
      <w:r/>
    </w:p>
    <w:p>
      <w:pPr>
        <w:pStyle w:val="998"/>
        <w:numPr>
          <w:ilvl w:val="0"/>
          <w:numId w:val="4"/>
        </w:numPr>
        <w:pBdr/>
        <w:tabs>
          <w:tab w:val="left" w:leader="none" w:pos="849"/>
        </w:tabs>
        <w:spacing/>
        <w:ind w:right="150" w:firstLine="0" w:left="141"/>
        <w:rPr/>
      </w:pPr>
      <w:r>
        <w:t xml:space="preserve">Le risorse funzion</w:t>
      </w:r>
      <w:r>
        <w:t xml:space="preserve">ali ad un eventuale incremento dell’importo lavori discendenti dai “lavori di perizia” potranno essere reperite prioritariamente nell’ambito delle somme per imprevisti presenti nel quadro economico del progetto esecutivo fra le c.d. “somme a disposizione”.</w:t>
      </w:r>
      <w:r/>
    </w:p>
    <w:p>
      <w:pPr>
        <w:pStyle w:val="998"/>
        <w:numPr>
          <w:ilvl w:val="0"/>
          <w:numId w:val="4"/>
        </w:numPr>
        <w:pBdr/>
        <w:tabs>
          <w:tab w:val="left" w:leader="none" w:pos="849"/>
        </w:tabs>
        <w:spacing/>
        <w:ind w:right="149" w:firstLine="0" w:left="141"/>
        <w:rPr/>
      </w:pPr>
      <w:r>
        <w:t xml:space="preserve">Non potranno pertanto essere ammesse varianti che determinino un incremento del contributo pubblico complessivo concesso.</w:t>
      </w:r>
      <w:r/>
    </w:p>
    <w:p>
      <w:pPr>
        <w:pStyle w:val="998"/>
        <w:numPr>
          <w:ilvl w:val="0"/>
          <w:numId w:val="4"/>
        </w:numPr>
        <w:pBdr/>
        <w:tabs>
          <w:tab w:val="left" w:leader="none" w:pos="849"/>
        </w:tabs>
        <w:spacing/>
        <w:ind w:right="149" w:firstLine="0" w:left="141"/>
        <w:rPr/>
      </w:pPr>
      <w:r>
        <w:t xml:space="preserve">Eventuali economie derivanti dalla mancata realizzazione di lavori o dal mancato utilizzo delle c.d. “somme a disposizione” rientreranno nelle disponibilità dell’amministrazione regionale.</w:t>
      </w:r>
      <w:r/>
    </w:p>
    <w:p>
      <w:pPr>
        <w:pStyle w:val="998"/>
        <w:numPr>
          <w:ilvl w:val="0"/>
          <w:numId w:val="4"/>
        </w:numPr>
        <w:pBdr/>
        <w:tabs>
          <w:tab w:val="left" w:leader="none" w:pos="849"/>
        </w:tabs>
        <w:spacing/>
        <w:ind w:right="147" w:firstLine="0" w:left="141"/>
        <w:rPr/>
      </w:pPr>
      <w:r>
        <w:t xml:space="preserve">La necessità di introdurre una variante dovrà essere tempestivamente comunicata dal beneficiario all’Amministrazione regionale e, a seguito del perfezionamento della perizia, il beneficiario provvederà a trasmettere la relativa relazione</w:t>
      </w:r>
      <w:r>
        <w:rPr>
          <w:spacing w:val="-2"/>
        </w:rPr>
        <w:t xml:space="preserve"> </w:t>
      </w:r>
      <w:r>
        <w:t xml:space="preserve">all’UCO/CdR, al fine di verificare la coerenza e la congruenza con gli obiettivi, le finalità e le caratteristiche del progetto originariamente finanziato.</w:t>
      </w:r>
      <w:r/>
    </w:p>
    <w:p>
      <w:pPr>
        <w:pStyle w:val="998"/>
        <w:numPr>
          <w:ilvl w:val="0"/>
          <w:numId w:val="4"/>
        </w:numPr>
        <w:pBdr/>
        <w:tabs>
          <w:tab w:val="left" w:leader="none" w:pos="849"/>
        </w:tabs>
        <w:spacing/>
        <w:ind w:right="147" w:firstLine="0" w:left="141"/>
        <w:rPr/>
      </w:pPr>
      <w:r>
        <w:t xml:space="preserve">L’amministrazione regionale provvederà quindi ad effettuare le necessarie verifiche</w:t>
      </w:r>
      <w:r>
        <w:rPr>
          <w:spacing w:val="80"/>
        </w:rPr>
        <w:t xml:space="preserve"> </w:t>
      </w:r>
      <w:r>
        <w:t xml:space="preserve">amministrative,</w:t>
      </w:r>
      <w:r>
        <w:rPr>
          <w:spacing w:val="-2"/>
        </w:rPr>
        <w:t xml:space="preserve"> </w:t>
      </w:r>
      <w:r>
        <w:t xml:space="preserve">contabili e tecniche volte ad accertarne l’ammissibilità e, in caso di esito negativo di tali accertamenti, procederà alla revoca parziale o totale delle agevolazioni concesse.</w:t>
      </w:r>
      <w:r/>
    </w:p>
    <w:p>
      <w:pPr>
        <w:pStyle w:val="998"/>
        <w:numPr>
          <w:ilvl w:val="0"/>
          <w:numId w:val="4"/>
        </w:numPr>
        <w:pBdr/>
        <w:tabs>
          <w:tab w:val="left" w:leader="none" w:pos="849"/>
        </w:tabs>
        <w:spacing/>
        <w:ind w:right="150" w:firstLine="0" w:left="141"/>
        <w:rPr/>
      </w:pPr>
      <w:r>
        <w:t xml:space="preserve">Eventuali proroghe ai termini di ultimazione dell’operazione indicati nel decreto di finanziamento e relativo disciplinare risulteranno ammissibili a condizione che:</w:t>
      </w:r>
      <w:r/>
    </w:p>
    <w:p>
      <w:pPr>
        <w:pStyle w:val="998"/>
        <w:numPr>
          <w:ilvl w:val="1"/>
          <w:numId w:val="4"/>
        </w:numPr>
        <w:pBdr/>
        <w:tabs>
          <w:tab w:val="left" w:leader="none" w:pos="861"/>
        </w:tabs>
        <w:spacing/>
        <w:ind w:right="148" w:left="861"/>
        <w:rPr/>
      </w:pPr>
      <w:r>
        <w:t xml:space="preserve">le</w:t>
      </w:r>
      <w:r>
        <w:rPr>
          <w:spacing w:val="-1"/>
        </w:rPr>
        <w:t xml:space="preserve"> </w:t>
      </w:r>
      <w:r>
        <w:t xml:space="preserve">motivazioni</w:t>
      </w:r>
      <w:r>
        <w:rPr>
          <w:spacing w:val="-1"/>
        </w:rPr>
        <w:t xml:space="preserve"> </w:t>
      </w:r>
      <w:r>
        <w:t xml:space="preserve">che</w:t>
      </w:r>
      <w:r>
        <w:rPr>
          <w:spacing w:val="-1"/>
        </w:rPr>
        <w:t xml:space="preserve"> </w:t>
      </w:r>
      <w:r>
        <w:t xml:space="preserve">hanno</w:t>
      </w:r>
      <w:r>
        <w:rPr>
          <w:spacing w:val="-1"/>
        </w:rPr>
        <w:t xml:space="preserve"> </w:t>
      </w:r>
      <w:r>
        <w:t xml:space="preserve">generato</w:t>
      </w:r>
      <w:r>
        <w:rPr>
          <w:spacing w:val="-1"/>
        </w:rPr>
        <w:t xml:space="preserve"> </w:t>
      </w:r>
      <w:r>
        <w:t xml:space="preserve">i</w:t>
      </w:r>
      <w:r>
        <w:rPr>
          <w:spacing w:val="-1"/>
        </w:rPr>
        <w:t xml:space="preserve"> </w:t>
      </w:r>
      <w:r>
        <w:t xml:space="preserve">ritardi</w:t>
      </w:r>
      <w:r>
        <w:rPr>
          <w:spacing w:val="-1"/>
        </w:rPr>
        <w:t xml:space="preserve"> </w:t>
      </w:r>
      <w:r>
        <w:t xml:space="preserve">nella</w:t>
      </w:r>
      <w:r>
        <w:rPr>
          <w:spacing w:val="-1"/>
        </w:rPr>
        <w:t xml:space="preserve"> </w:t>
      </w:r>
      <w:r>
        <w:t xml:space="preserve">fase</w:t>
      </w:r>
      <w:r>
        <w:rPr>
          <w:spacing w:val="-1"/>
        </w:rPr>
        <w:t xml:space="preserve"> </w:t>
      </w:r>
      <w:r>
        <w:t xml:space="preserve">di</w:t>
      </w:r>
      <w:r>
        <w:rPr>
          <w:spacing w:val="-1"/>
        </w:rPr>
        <w:t xml:space="preserve"> </w:t>
      </w:r>
      <w:r>
        <w:t xml:space="preserve">esecuzione</w:t>
      </w:r>
      <w:r>
        <w:rPr>
          <w:spacing w:val="-1"/>
        </w:rPr>
        <w:t xml:space="preserve"> </w:t>
      </w:r>
      <w:r>
        <w:t xml:space="preserve">delle</w:t>
      </w:r>
      <w:r>
        <w:rPr>
          <w:spacing w:val="-1"/>
        </w:rPr>
        <w:t xml:space="preserve"> </w:t>
      </w:r>
      <w:r>
        <w:t xml:space="preserve">operazioni</w:t>
      </w:r>
      <w:r>
        <w:rPr>
          <w:spacing w:val="-1"/>
        </w:rPr>
        <w:t xml:space="preserve"> </w:t>
      </w:r>
      <w:r>
        <w:t xml:space="preserve">finanziate</w:t>
      </w:r>
      <w:r>
        <w:rPr>
          <w:spacing w:val="-1"/>
        </w:rPr>
        <w:t xml:space="preserve"> </w:t>
      </w:r>
      <w:r>
        <w:t xml:space="preserve">siano dipese da cause terze dalle funzioni di gestione dell’operazione in capo al beneficiario;</w:t>
      </w:r>
      <w:r/>
    </w:p>
    <w:p>
      <w:pPr>
        <w:pStyle w:val="998"/>
        <w:numPr>
          <w:ilvl w:val="1"/>
          <w:numId w:val="4"/>
        </w:numPr>
        <w:pBdr/>
        <w:tabs>
          <w:tab w:val="left" w:leader="none" w:pos="861"/>
        </w:tabs>
        <w:spacing/>
        <w:ind w:right="148" w:left="861"/>
        <w:rPr/>
      </w:pPr>
      <w:r>
        <w:t xml:space="preserve">i ritardi nella fase di esecuzione dell’operazione non incidano, per profili determinanti,</w:t>
      </w:r>
      <w:r>
        <w:rPr>
          <w:spacing w:val="-3"/>
        </w:rPr>
        <w:t xml:space="preserve"> </w:t>
      </w:r>
      <w:r>
        <w:t xml:space="preserve">sui programmi di spesa afferenti all’azione di riferimento del POR e, comunque,</w:t>
      </w:r>
      <w:r>
        <w:rPr>
          <w:spacing w:val="-2"/>
        </w:rPr>
        <w:t xml:space="preserve"> </w:t>
      </w:r>
      <w:r>
        <w:t xml:space="preserve">non superino il</w:t>
      </w:r>
      <w:r>
        <w:rPr>
          <w:spacing w:val="40"/>
        </w:rPr>
        <w:t xml:space="preserve"> </w:t>
      </w:r>
      <w:r>
        <w:t xml:space="preserve">termine di eleggibilità della spesa del Programma Operativo.</w:t>
      </w:r>
      <w:r/>
    </w:p>
    <w:p>
      <w:pPr>
        <w:pStyle w:val="998"/>
        <w:numPr>
          <w:ilvl w:val="0"/>
          <w:numId w:val="4"/>
        </w:numPr>
        <w:pBdr/>
        <w:tabs>
          <w:tab w:val="left" w:leader="none" w:pos="849"/>
        </w:tabs>
        <w:spacing/>
        <w:ind w:right="146" w:firstLine="0" w:left="141"/>
        <w:rPr/>
      </w:pPr>
      <w:r>
        <w:t xml:space="preserve">Le richieste di proroga dovranno pervenire all’UCO/CdR entro un congruo termine dalla scadenza dei termini di ultimazione dell’operazione previsti nel decreto di finanziamento e relativo disciplinare, al</w:t>
      </w:r>
      <w:r>
        <w:rPr>
          <w:spacing w:val="40"/>
        </w:rPr>
        <w:t xml:space="preserve"> </w:t>
      </w:r>
      <w:r>
        <w:t xml:space="preserve">fine di consentire una attività istruttoria che permetta all’UCO/CdR di determinarsi nel merito entro tali </w:t>
      </w:r>
      <w:r>
        <w:rPr>
          <w:spacing w:val="-2"/>
        </w:rPr>
        <w:t xml:space="preserve">termini.</w:t>
      </w:r>
      <w:r/>
    </w:p>
    <w:p>
      <w:pPr>
        <w:pStyle w:val="998"/>
        <w:numPr>
          <w:ilvl w:val="0"/>
          <w:numId w:val="4"/>
        </w:numPr>
        <w:pBdr/>
        <w:tabs>
          <w:tab w:val="left" w:leader="none" w:pos="849"/>
        </w:tabs>
        <w:spacing/>
        <w:ind w:right="149" w:firstLine="0" w:left="141"/>
        <w:rPr/>
      </w:pPr>
      <w:r>
        <w:t xml:space="preserve">In esito all’attività istruttoria l’UCO/CdR potrà concedere la proroga, ovvero esprimersi con diniego attivando le ulteriori determinazioni consequenziali connesse alle specificità dell’intervento sul quale è</w:t>
      </w:r>
      <w:r>
        <w:rPr>
          <w:spacing w:val="40"/>
        </w:rPr>
        <w:t xml:space="preserve"> </w:t>
      </w:r>
      <w:r>
        <w:t xml:space="preserve">stata avanzata la richiesta.</w:t>
      </w:r>
      <w:r/>
    </w:p>
    <w:p>
      <w:pPr>
        <w:pStyle w:val="998"/>
        <w:numPr>
          <w:ilvl w:val="0"/>
          <w:numId w:val="4"/>
        </w:numPr>
        <w:pBdr/>
        <w:tabs>
          <w:tab w:val="left" w:leader="none" w:pos="846"/>
        </w:tabs>
        <w:spacing/>
        <w:ind w:right="147" w:firstLine="0" w:left="141"/>
        <w:rPr/>
      </w:pPr>
      <w:r>
        <w:t xml:space="preserve">Per gli ulteriori elementi che disciplinano il tema delle variazioni delle operazioni si fa rinvio all’articolo 8.6 del manuale di attuazione del PR FESR Sicilia 2021/2027.</w:t>
      </w:r>
      <w:r/>
    </w:p>
    <w:p>
      <w:pPr>
        <w:pStyle w:val="997"/>
        <w:pBdr/>
        <w:spacing/>
        <w:ind/>
        <w:rPr/>
      </w:pPr>
      <w:r/>
      <w:r/>
    </w:p>
    <w:p>
      <w:pPr>
        <w:pStyle w:val="997"/>
        <w:pBdr/>
        <w:spacing/>
        <w:ind/>
        <w:rPr/>
      </w:pPr>
      <w:r/>
      <w:r/>
    </w:p>
    <w:p>
      <w:pPr>
        <w:pStyle w:val="997"/>
        <w:pBdr/>
        <w:spacing/>
        <w:ind w:left="2861"/>
        <w:jc w:val="both"/>
        <w:rPr/>
      </w:pPr>
      <w:r>
        <w:rPr>
          <w:color w:val="2d73b4"/>
          <w:spacing w:val="-2"/>
        </w:rPr>
        <w:t xml:space="preserve">Art.</w:t>
      </w:r>
      <w:r>
        <w:rPr>
          <w:color w:val="2d73b4"/>
          <w:spacing w:val="-3"/>
        </w:rPr>
        <w:t xml:space="preserve"> </w:t>
      </w:r>
      <w:r>
        <w:rPr>
          <w:color w:val="2d73b4"/>
          <w:spacing w:val="-2"/>
        </w:rPr>
        <w:t xml:space="preserve">15</w:t>
      </w:r>
      <w:r>
        <w:rPr>
          <w:color w:val="2d73b4"/>
          <w:spacing w:val="-3"/>
        </w:rPr>
        <w:t xml:space="preserve"> </w:t>
      </w:r>
      <w:r>
        <w:rPr>
          <w:color w:val="2d73b4"/>
          <w:spacing w:val="-2"/>
        </w:rPr>
        <w:t xml:space="preserve">– Revoca</w:t>
      </w:r>
      <w:r>
        <w:rPr>
          <w:color w:val="2d73b4"/>
          <w:spacing w:val="-3"/>
        </w:rPr>
        <w:t xml:space="preserve"> </w:t>
      </w:r>
      <w:r>
        <w:rPr>
          <w:color w:val="2d73b4"/>
          <w:spacing w:val="-2"/>
        </w:rPr>
        <w:t xml:space="preserve">della contribuzione</w:t>
      </w:r>
      <w:r>
        <w:rPr>
          <w:color w:val="2d73b4"/>
          <w:spacing w:val="-3"/>
        </w:rPr>
        <w:t xml:space="preserve"> </w:t>
      </w:r>
      <w:r>
        <w:rPr>
          <w:color w:val="2d73b4"/>
          <w:spacing w:val="-2"/>
        </w:rPr>
        <w:t xml:space="preserve">finanziaria</w:t>
      </w:r>
      <w:r/>
    </w:p>
    <w:p>
      <w:pPr>
        <w:pStyle w:val="998"/>
        <w:numPr>
          <w:ilvl w:val="0"/>
          <w:numId w:val="3"/>
        </w:numPr>
        <w:pBdr/>
        <w:tabs>
          <w:tab w:val="left" w:leader="none" w:pos="849"/>
        </w:tabs>
        <w:spacing w:line="242" w:lineRule="auto"/>
        <w:ind w:right="147" w:firstLine="0" w:left="141"/>
        <w:rPr/>
      </w:pPr>
      <w:r>
        <w:t xml:space="preserve">Oltre</w:t>
      </w:r>
      <w:r>
        <w:rPr>
          <w:spacing w:val="80"/>
        </w:rPr>
        <w:t xml:space="preserve"> </w:t>
      </w:r>
      <w:r>
        <w:t xml:space="preserve">che</w:t>
      </w:r>
      <w:r>
        <w:rPr>
          <w:spacing w:val="80"/>
        </w:rPr>
        <w:t xml:space="preserve"> </w:t>
      </w:r>
      <w:r>
        <w:t xml:space="preserve">nelle</w:t>
      </w:r>
      <w:r>
        <w:rPr>
          <w:spacing w:val="80"/>
        </w:rPr>
        <w:t xml:space="preserve"> </w:t>
      </w:r>
      <w:r>
        <w:t xml:space="preserve">ipotesi</w:t>
      </w:r>
      <w:r>
        <w:rPr>
          <w:spacing w:val="80"/>
        </w:rPr>
        <w:t xml:space="preserve"> </w:t>
      </w:r>
      <w:r>
        <w:t xml:space="preserve">specificamente</w:t>
      </w:r>
      <w:r>
        <w:rPr>
          <w:spacing w:val="80"/>
        </w:rPr>
        <w:t xml:space="preserve"> </w:t>
      </w:r>
      <w:r>
        <w:t xml:space="preserve">previste</w:t>
      </w:r>
      <w:r>
        <w:rPr>
          <w:spacing w:val="80"/>
        </w:rPr>
        <w:t xml:space="preserve"> </w:t>
      </w:r>
      <w:r>
        <w:t xml:space="preserve">e</w:t>
      </w:r>
      <w:r>
        <w:rPr>
          <w:spacing w:val="80"/>
        </w:rPr>
        <w:t xml:space="preserve"> </w:t>
      </w:r>
      <w:r>
        <w:t xml:space="preserve">disciplinate</w:t>
      </w:r>
      <w:r>
        <w:rPr>
          <w:spacing w:val="80"/>
        </w:rPr>
        <w:t xml:space="preserve"> </w:t>
      </w:r>
      <w:r>
        <w:t xml:space="preserve">in</w:t>
      </w:r>
      <w:r>
        <w:rPr>
          <w:spacing w:val="80"/>
        </w:rPr>
        <w:t xml:space="preserve"> </w:t>
      </w:r>
      <w:r>
        <w:t xml:space="preserve">altri</w:t>
      </w:r>
      <w:r>
        <w:rPr>
          <w:spacing w:val="80"/>
        </w:rPr>
        <w:t xml:space="preserve"> </w:t>
      </w:r>
      <w:r>
        <w:t xml:space="preserve">articoli</w:t>
      </w:r>
      <w:r>
        <w:rPr>
          <w:spacing w:val="80"/>
        </w:rPr>
        <w:t xml:space="preserve"> </w:t>
      </w:r>
      <w:r>
        <w:t xml:space="preserve">del presente</w:t>
      </w:r>
      <w:r>
        <w:rPr>
          <w:spacing w:val="40"/>
        </w:rPr>
        <w:t xml:space="preserve"> </w:t>
      </w:r>
      <w:r>
        <w:t xml:space="preserve">Disciplinare, la Regione si riserva di revocare il contributo finanziario concesso nel caso in cui il Beneficiario incorra in un’irregolarità ai sensi del Regolamento (UE) 2021/1060, art. 2, paragrafo 1, punto 31, oppure in violazioni o neglige</w:t>
      </w:r>
      <w:r>
        <w:t xml:space="preserve">nze in ordine alle disposizioni e condizioni del presente Disciplinare, nonché a leggi, regolamenti e disposizioni amministrative vigenti, nonché alle norme di buona amministrazione, nonché nel caso di violazione degli obblighi di cui al precedente art. 2.</w:t>
      </w:r>
      <w:r/>
    </w:p>
    <w:p>
      <w:pPr>
        <w:pStyle w:val="998"/>
        <w:numPr>
          <w:ilvl w:val="0"/>
          <w:numId w:val="3"/>
        </w:numPr>
        <w:pBdr/>
        <w:tabs>
          <w:tab w:val="left" w:leader="none" w:pos="849"/>
        </w:tabs>
        <w:spacing w:before="1"/>
        <w:ind w:right="147" w:firstLine="0" w:left="141"/>
        <w:rPr/>
      </w:pPr>
      <w:r>
        <w:t xml:space="preserve">Lo stesso potere di revoca la Regione lo eserciterà ove, per imperizia, o altro comportamento, il Beneficiario comprometta la tempestiva esecuzione o buona riuscita dell'Operazione.</w:t>
      </w:r>
      <w:r/>
      <w:r/>
      <w:r/>
      <w:r/>
    </w:p>
    <w:p>
      <w:pPr>
        <w:pStyle w:val="998"/>
        <w:numPr>
          <w:ilvl w:val="0"/>
          <w:numId w:val="3"/>
        </w:numPr>
        <w:pBdr/>
        <w:tabs>
          <w:tab w:val="left" w:leader="none" w:pos="849"/>
        </w:tabs>
        <w:spacing/>
        <w:ind w:right="147" w:firstLine="0" w:left="141"/>
        <w:rPr/>
      </w:pPr>
      <w:r>
        <w:t xml:space="preserve">Nel caso di revoca, il Beneficiario è obbli</w:t>
      </w:r>
      <w:r>
        <w:t xml:space="preserve">gato a restituire alla Regione le somme da quest'ultima erogate, maggiorate degli interessi legali nel caso di versamento delle stesse su conti correnti fruttiferi, restando a totale carico del medesimo Beneficiario tutti gli oneri relativi all'Operazione.</w:t>
      </w:r>
      <w:r/>
    </w:p>
    <w:p>
      <w:pPr>
        <w:pStyle w:val="998"/>
        <w:numPr>
          <w:ilvl w:val="0"/>
          <w:numId w:val="3"/>
        </w:numPr>
        <w:pBdr/>
        <w:tabs>
          <w:tab w:val="left" w:leader="none" w:pos="849"/>
        </w:tabs>
        <w:spacing/>
        <w:ind w:right="148" w:firstLine="0" w:left="141"/>
        <w:rPr/>
      </w:pPr>
      <w:r>
        <w:t xml:space="preserve">È in ogni caso facoltà della Regione </w:t>
      </w:r>
      <w:r>
        <w:t xml:space="preserve">utilizzare il potere di revoca previsto dal presente articolo nel caso di gravi ritardi o irregolarità – indipendentemente dalla relativa imputabilità a colpa o, comunque, responsabilità del Beneficiario – nell'utilizzo del contributo finanziario concesso.</w:t>
      </w:r>
      <w:r/>
    </w:p>
    <w:p>
      <w:pPr>
        <w:pStyle w:val="998"/>
        <w:numPr>
          <w:ilvl w:val="0"/>
          <w:numId w:val="3"/>
        </w:numPr>
        <w:pBdr/>
        <w:tabs>
          <w:tab w:val="left" w:leader="none" w:pos="849"/>
        </w:tabs>
        <w:spacing/>
        <w:ind w:right="148" w:firstLine="0" w:left="141"/>
        <w:rPr/>
      </w:pPr>
      <w:r>
        <w:t xml:space="preserve">In caso di revoca parziale del contributo finanziario conseguente alla non ammissibilità di alcune spese richieste a rimborso, queste ultime resteranno a totale carico del Beneficiario.</w:t>
      </w:r>
      <w:r/>
    </w:p>
    <w:p>
      <w:pPr>
        <w:pStyle w:val="997"/>
        <w:pBdr/>
        <w:spacing w:before="24"/>
        <w:ind/>
        <w:rPr/>
      </w:pPr>
      <w:r/>
      <w:r/>
    </w:p>
    <w:p>
      <w:pPr>
        <w:pStyle w:val="997"/>
        <w:pBdr/>
        <w:spacing/>
        <w:ind w:left="3784"/>
        <w:rPr/>
      </w:pPr>
      <w:r>
        <w:rPr>
          <w:color w:val="2d73b4"/>
        </w:rPr>
        <w:t xml:space="preserve">Art.</w:t>
      </w:r>
      <w:r>
        <w:rPr>
          <w:color w:val="2d73b4"/>
          <w:spacing w:val="-6"/>
        </w:rPr>
        <w:t xml:space="preserve"> </w:t>
      </w:r>
      <w:r>
        <w:rPr>
          <w:color w:val="2d73b4"/>
        </w:rPr>
        <w:t xml:space="preserve">16</w:t>
      </w:r>
      <w:r>
        <w:rPr>
          <w:color w:val="2d73b4"/>
          <w:spacing w:val="-6"/>
        </w:rPr>
        <w:t xml:space="preserve"> </w:t>
      </w:r>
      <w:r>
        <w:rPr>
          <w:color w:val="2d73b4"/>
        </w:rPr>
        <w:t xml:space="preserve">-</w:t>
      </w:r>
      <w:r>
        <w:rPr>
          <w:color w:val="2d73b4"/>
          <w:spacing w:val="-5"/>
        </w:rPr>
        <w:t xml:space="preserve"> </w:t>
      </w:r>
      <w:r>
        <w:rPr>
          <w:color w:val="2d73b4"/>
        </w:rPr>
        <w:t xml:space="preserve">Foro</w:t>
      </w:r>
      <w:r>
        <w:rPr>
          <w:color w:val="2d73b4"/>
          <w:spacing w:val="-6"/>
        </w:rPr>
        <w:t xml:space="preserve"> </w:t>
      </w:r>
      <w:r>
        <w:rPr>
          <w:color w:val="2d73b4"/>
          <w:spacing w:val="-2"/>
        </w:rPr>
        <w:t xml:space="preserve">competente</w:t>
      </w:r>
      <w:r/>
    </w:p>
    <w:p>
      <w:pPr>
        <w:pStyle w:val="998"/>
        <w:numPr>
          <w:ilvl w:val="0"/>
          <w:numId w:val="2"/>
        </w:numPr>
        <w:pBdr/>
        <w:tabs>
          <w:tab w:val="left" w:leader="none" w:pos="849"/>
        </w:tabs>
        <w:spacing/>
        <w:ind w:right="235" w:firstLine="0" w:left="141"/>
        <w:rPr/>
      </w:pPr>
      <w:r>
        <w:t xml:space="preserve">Per</w:t>
      </w:r>
      <w:r>
        <w:rPr>
          <w:spacing w:val="-3"/>
        </w:rPr>
        <w:t xml:space="preserve"> </w:t>
      </w:r>
      <w:r>
        <w:t xml:space="preserve">qualsiasi</w:t>
      </w:r>
      <w:r>
        <w:rPr>
          <w:spacing w:val="-3"/>
        </w:rPr>
        <w:t xml:space="preserve"> </w:t>
      </w:r>
      <w:r>
        <w:t xml:space="preserve">controversia</w:t>
      </w:r>
      <w:r>
        <w:rPr>
          <w:spacing w:val="-3"/>
        </w:rPr>
        <w:t xml:space="preserve"> </w:t>
      </w:r>
      <w:r>
        <w:t xml:space="preserve">derivante</w:t>
      </w:r>
      <w:r>
        <w:rPr>
          <w:spacing w:val="-3"/>
        </w:rPr>
        <w:t xml:space="preserve"> </w:t>
      </w:r>
      <w:r>
        <w:t xml:space="preserve">o</w:t>
      </w:r>
      <w:r>
        <w:rPr>
          <w:spacing w:val="-3"/>
        </w:rPr>
        <w:t xml:space="preserve"> </w:t>
      </w:r>
      <w:r>
        <w:t xml:space="preserve">connessa</w:t>
      </w:r>
      <w:r>
        <w:rPr>
          <w:spacing w:val="-3"/>
        </w:rPr>
        <w:t xml:space="preserve"> </w:t>
      </w:r>
      <w:r>
        <w:t xml:space="preserve">al</w:t>
      </w:r>
      <w:r>
        <w:rPr>
          <w:spacing w:val="-3"/>
        </w:rPr>
        <w:t xml:space="preserve"> </w:t>
      </w:r>
      <w:r>
        <w:t xml:space="preserve">presente</w:t>
      </w:r>
      <w:r>
        <w:rPr>
          <w:spacing w:val="-3"/>
        </w:rPr>
        <w:t xml:space="preserve"> </w:t>
      </w:r>
      <w:r>
        <w:t xml:space="preserve">Disciplinare,</w:t>
      </w:r>
      <w:r>
        <w:rPr>
          <w:spacing w:val="-3"/>
        </w:rPr>
        <w:t xml:space="preserve"> </w:t>
      </w:r>
      <w:r>
        <w:t xml:space="preserve">ove</w:t>
      </w:r>
      <w:r>
        <w:rPr>
          <w:spacing w:val="-3"/>
        </w:rPr>
        <w:t xml:space="preserve"> </w:t>
      </w:r>
      <w:r>
        <w:t xml:space="preserve">la</w:t>
      </w:r>
      <w:r>
        <w:rPr>
          <w:spacing w:val="-3"/>
        </w:rPr>
        <w:t xml:space="preserve"> </w:t>
      </w:r>
      <w:r>
        <w:t xml:space="preserve">Regione</w:t>
      </w:r>
      <w:r>
        <w:rPr>
          <w:spacing w:val="-3"/>
        </w:rPr>
        <w:t xml:space="preserve"> </w:t>
      </w:r>
      <w:r>
        <w:t xml:space="preserve">sia</w:t>
      </w:r>
      <w:r>
        <w:rPr>
          <w:spacing w:val="-3"/>
        </w:rPr>
        <w:t xml:space="preserve"> </w:t>
      </w:r>
      <w:r>
        <w:t xml:space="preserve">attore</w:t>
      </w:r>
      <w:r>
        <w:rPr>
          <w:spacing w:val="-3"/>
        </w:rPr>
        <w:t xml:space="preserve"> </w:t>
      </w:r>
      <w:r>
        <w:t xml:space="preserve">o convenuto, è competente il Foro di Palermo, con espressa rinuncia a qualsiasi altro.</w:t>
      </w:r>
      <w:r/>
    </w:p>
    <w:p>
      <w:pPr>
        <w:pStyle w:val="997"/>
        <w:pBdr/>
        <w:spacing w:before="24"/>
        <w:ind/>
        <w:rPr/>
      </w:pPr>
      <w:r/>
      <w:r/>
    </w:p>
    <w:p>
      <w:pPr>
        <w:pStyle w:val="997"/>
        <w:pBdr/>
        <w:spacing/>
        <w:ind w:left="1617"/>
        <w:rPr/>
      </w:pPr>
      <w:r>
        <w:rPr>
          <w:color w:val="2d73b4"/>
          <w:spacing w:val="-2"/>
        </w:rPr>
        <w:t xml:space="preserve">Art.</w:t>
      </w:r>
      <w:r>
        <w:rPr>
          <w:color w:val="2d73b4"/>
          <w:spacing w:val="-4"/>
        </w:rPr>
        <w:t xml:space="preserve"> </w:t>
      </w:r>
      <w:r>
        <w:rPr>
          <w:color w:val="2d73b4"/>
          <w:spacing w:val="-2"/>
        </w:rPr>
        <w:t xml:space="preserve">17</w:t>
      </w:r>
      <w:r>
        <w:rPr>
          <w:color w:val="2d73b4"/>
          <w:spacing w:val="-3"/>
        </w:rPr>
        <w:t xml:space="preserve"> </w:t>
      </w:r>
      <w:r>
        <w:rPr>
          <w:color w:val="2d73b4"/>
          <w:spacing w:val="-2"/>
        </w:rPr>
        <w:t xml:space="preserve">–</w:t>
      </w:r>
      <w:r>
        <w:rPr>
          <w:color w:val="2d73b4"/>
          <w:spacing w:val="-3"/>
        </w:rPr>
        <w:t xml:space="preserve"> </w:t>
      </w:r>
      <w:r>
        <w:rPr>
          <w:color w:val="2d73b4"/>
          <w:spacing w:val="-2"/>
        </w:rPr>
        <w:t xml:space="preserve">Richiamo</w:t>
      </w:r>
      <w:r>
        <w:rPr>
          <w:color w:val="2d73b4"/>
          <w:spacing w:val="-4"/>
        </w:rPr>
        <w:t xml:space="preserve"> </w:t>
      </w:r>
      <w:r>
        <w:rPr>
          <w:color w:val="2d73b4"/>
          <w:spacing w:val="-2"/>
        </w:rPr>
        <w:t xml:space="preserve">generale</w:t>
      </w:r>
      <w:r>
        <w:rPr>
          <w:color w:val="2d73b4"/>
          <w:spacing w:val="-3"/>
        </w:rPr>
        <w:t xml:space="preserve"> </w:t>
      </w:r>
      <w:r>
        <w:rPr>
          <w:color w:val="2d73b4"/>
          <w:spacing w:val="-2"/>
        </w:rPr>
        <w:t xml:space="preserve">alle</w:t>
      </w:r>
      <w:r>
        <w:rPr>
          <w:color w:val="2d73b4"/>
          <w:spacing w:val="-3"/>
        </w:rPr>
        <w:t xml:space="preserve"> </w:t>
      </w:r>
      <w:r>
        <w:rPr>
          <w:color w:val="2d73b4"/>
          <w:spacing w:val="-2"/>
        </w:rPr>
        <w:t xml:space="preserve">norme</w:t>
      </w:r>
      <w:r>
        <w:rPr>
          <w:color w:val="2d73b4"/>
          <w:spacing w:val="-3"/>
        </w:rPr>
        <w:t xml:space="preserve"> </w:t>
      </w:r>
      <w:r>
        <w:rPr>
          <w:color w:val="2d73b4"/>
          <w:spacing w:val="-2"/>
        </w:rPr>
        <w:t xml:space="preserve">applicabili</w:t>
      </w:r>
      <w:r>
        <w:rPr>
          <w:color w:val="2d73b4"/>
          <w:spacing w:val="-4"/>
        </w:rPr>
        <w:t xml:space="preserve"> </w:t>
      </w:r>
      <w:r>
        <w:rPr>
          <w:color w:val="2d73b4"/>
          <w:spacing w:val="-2"/>
        </w:rPr>
        <w:t xml:space="preserve">e</w:t>
      </w:r>
      <w:r>
        <w:rPr>
          <w:color w:val="2d73b4"/>
          <w:spacing w:val="-3"/>
        </w:rPr>
        <w:t xml:space="preserve"> </w:t>
      </w:r>
      <w:r>
        <w:rPr>
          <w:color w:val="2d73b4"/>
          <w:spacing w:val="-2"/>
        </w:rPr>
        <w:t xml:space="preserve">alle</w:t>
      </w:r>
      <w:r>
        <w:rPr>
          <w:color w:val="2d73b4"/>
          <w:spacing w:val="-3"/>
        </w:rPr>
        <w:t xml:space="preserve"> </w:t>
      </w:r>
      <w:r>
        <w:rPr>
          <w:color w:val="2d73b4"/>
          <w:spacing w:val="-2"/>
        </w:rPr>
        <w:t xml:space="preserve">disposizioni</w:t>
      </w:r>
      <w:r>
        <w:rPr>
          <w:color w:val="2d73b4"/>
          <w:spacing w:val="-3"/>
        </w:rPr>
        <w:t xml:space="preserve"> </w:t>
      </w:r>
      <w:r>
        <w:rPr>
          <w:color w:val="2d73b4"/>
          <w:spacing w:val="-2"/>
        </w:rPr>
        <w:t xml:space="preserve">dell’UE</w:t>
      </w:r>
      <w:r/>
    </w:p>
    <w:p>
      <w:pPr>
        <w:pStyle w:val="998"/>
        <w:numPr>
          <w:ilvl w:val="0"/>
          <w:numId w:val="1"/>
        </w:numPr>
        <w:pBdr/>
        <w:tabs>
          <w:tab w:val="left" w:leader="none" w:pos="849"/>
        </w:tabs>
        <w:spacing/>
        <w:ind w:right="176" w:firstLine="0" w:left="141"/>
        <w:rPr/>
      </w:pPr>
      <w:r>
        <w:t xml:space="preserve">Per</w:t>
      </w:r>
      <w:r>
        <w:rPr>
          <w:spacing w:val="-4"/>
        </w:rPr>
        <w:t xml:space="preserve"> </w:t>
      </w:r>
      <w:r>
        <w:t xml:space="preserve">quanto</w:t>
      </w:r>
      <w:r>
        <w:rPr>
          <w:spacing w:val="-4"/>
        </w:rPr>
        <w:t xml:space="preserve"> </w:t>
      </w:r>
      <w:r>
        <w:t xml:space="preserve">non</w:t>
      </w:r>
      <w:r>
        <w:rPr>
          <w:spacing w:val="-4"/>
        </w:rPr>
        <w:t xml:space="preserve"> </w:t>
      </w:r>
      <w:r>
        <w:t xml:space="preserve">espressamente</w:t>
      </w:r>
      <w:r>
        <w:rPr>
          <w:spacing w:val="-4"/>
        </w:rPr>
        <w:t xml:space="preserve"> </w:t>
      </w:r>
      <w:r>
        <w:t xml:space="preserve">previsto,</w:t>
      </w:r>
      <w:r>
        <w:rPr>
          <w:spacing w:val="-4"/>
        </w:rPr>
        <w:t xml:space="preserve"> </w:t>
      </w:r>
      <w:r>
        <w:t xml:space="preserve">si</w:t>
      </w:r>
      <w:r>
        <w:rPr>
          <w:spacing w:val="-4"/>
        </w:rPr>
        <w:t xml:space="preserve"> </w:t>
      </w:r>
      <w:r>
        <w:t xml:space="preserve">richiamano</w:t>
      </w:r>
      <w:r>
        <w:rPr>
          <w:spacing w:val="-4"/>
        </w:rPr>
        <w:t xml:space="preserve"> </w:t>
      </w:r>
      <w:r>
        <w:t xml:space="preserve">tutte</w:t>
      </w:r>
      <w:r>
        <w:rPr>
          <w:spacing w:val="-4"/>
        </w:rPr>
        <w:t xml:space="preserve"> </w:t>
      </w:r>
      <w:r>
        <w:t xml:space="preserve">le</w:t>
      </w:r>
      <w:r>
        <w:rPr>
          <w:spacing w:val="-4"/>
        </w:rPr>
        <w:t xml:space="preserve"> </w:t>
      </w:r>
      <w:r>
        <w:t xml:space="preserve">norme</w:t>
      </w:r>
      <w:r>
        <w:rPr>
          <w:spacing w:val="-4"/>
        </w:rPr>
        <w:t xml:space="preserve"> </w:t>
      </w:r>
      <w:r>
        <w:t xml:space="preserve">applicabili</w:t>
      </w:r>
      <w:r>
        <w:rPr>
          <w:spacing w:val="-4"/>
        </w:rPr>
        <w:t xml:space="preserve"> </w:t>
      </w:r>
      <w:r>
        <w:t xml:space="preserve">in</w:t>
      </w:r>
      <w:r>
        <w:rPr>
          <w:spacing w:val="-4"/>
        </w:rPr>
        <w:t xml:space="preserve"> </w:t>
      </w:r>
      <w:r>
        <w:t xml:space="preserve">materia,</w:t>
      </w:r>
      <w:r>
        <w:rPr>
          <w:spacing w:val="-4"/>
        </w:rPr>
        <w:t xml:space="preserve"> </w:t>
      </w:r>
      <w:r>
        <w:t xml:space="preserve">nonché le disposizioni impartite dall’UE.</w:t>
      </w:r>
      <w:r/>
    </w:p>
    <w:p>
      <w:pPr>
        <w:pStyle w:val="997"/>
        <w:pBdr/>
        <w:spacing w:before="24"/>
        <w:ind/>
        <w:rPr/>
      </w:pPr>
      <w:r/>
      <w:r/>
    </w:p>
    <w:p>
      <w:pPr>
        <w:pStyle w:val="997"/>
        <w:pBdr/>
        <w:tabs>
          <w:tab w:val="left" w:leader="none" w:pos="2828"/>
        </w:tabs>
        <w:spacing/>
        <w:ind w:left="283"/>
        <w:rPr>
          <w:rFonts w:ascii="Times New Roman"/>
        </w:rPr>
      </w:pPr>
      <w:r>
        <w:t xml:space="preserve">Palermo, </w:t>
      </w:r>
      <w:r>
        <w:rPr>
          <w:rFonts w:ascii="Times New Roman"/>
          <w:u w:val="single"/>
        </w:rPr>
        <w:tab/>
      </w:r>
      <w:r>
        <w:rPr>
          <w:rFonts w:ascii="Times New Roman"/>
        </w:rPr>
      </w:r>
    </w:p>
    <w:p>
      <w:pPr>
        <w:pStyle w:val="997"/>
        <w:pBdr/>
        <w:spacing w:before="16"/>
        <w:ind/>
        <w:rPr>
          <w:rFonts w:ascii="Times New Roman"/>
        </w:rPr>
      </w:pPr>
      <w:r>
        <w:rPr>
          <w:rFonts w:ascii="Times New Roman"/>
        </w:rPr>
      </w:r>
      <w:r>
        <w:rPr>
          <w:rFonts w:ascii="Times New Roman"/>
        </w:rPr>
      </w:r>
    </w:p>
    <w:p>
      <w:pPr>
        <w:pStyle w:val="997"/>
        <w:pBdr/>
        <w:spacing w:line="480" w:lineRule="auto"/>
        <w:ind w:right="4841" w:left="283"/>
        <w:rPr/>
      </w:pPr>
      <w:r>
        <w:t xml:space="preserve">Per</w:t>
      </w:r>
      <w:r>
        <w:rPr>
          <w:spacing w:val="-7"/>
        </w:rPr>
        <w:t xml:space="preserve"> </w:t>
      </w:r>
      <w:r>
        <w:t xml:space="preserve">la</w:t>
      </w:r>
      <w:r>
        <w:rPr>
          <w:spacing w:val="-7"/>
        </w:rPr>
        <w:t xml:space="preserve"> </w:t>
      </w:r>
      <w:r>
        <w:t xml:space="preserve">Regione</w:t>
      </w:r>
      <w:r>
        <w:rPr>
          <w:spacing w:val="-7"/>
        </w:rPr>
        <w:t xml:space="preserve"> </w:t>
      </w:r>
      <w:r>
        <w:t xml:space="preserve">Siciliana,</w:t>
      </w:r>
      <w:r>
        <w:rPr>
          <w:spacing w:val="-7"/>
        </w:rPr>
        <w:t xml:space="preserve"> </w:t>
      </w:r>
      <w:r>
        <w:t xml:space="preserve">il</w:t>
      </w:r>
      <w:r>
        <w:rPr>
          <w:spacing w:val="-7"/>
        </w:rPr>
        <w:t xml:space="preserve"> </w:t>
      </w:r>
      <w:r>
        <w:t xml:space="preserve">Responsabile</w:t>
      </w:r>
      <w:r>
        <w:rPr>
          <w:spacing w:val="-7"/>
        </w:rPr>
        <w:t xml:space="preserve"> </w:t>
      </w:r>
      <w:r>
        <w:t xml:space="preserve">dell’Azione PER ACCETTAZIONE</w:t>
      </w:r>
      <w:r/>
    </w:p>
    <w:p>
      <w:pPr>
        <w:pBdr/>
        <w:tabs>
          <w:tab w:val="left" w:leader="none" w:pos="1925"/>
          <w:tab w:val="left" w:leader="none" w:pos="3614"/>
        </w:tabs>
        <w:spacing/>
        <w:ind w:left="283"/>
        <w:rPr>
          <w:rFonts w:ascii="Times New Roman"/>
        </w:rPr>
      </w:pPr>
      <w:r>
        <w:rPr>
          <w:rFonts w:ascii="Times New Roman"/>
          <w:u w:val="single"/>
        </w:rPr>
        <w:tab/>
      </w:r>
      <w:r>
        <w:t xml:space="preserve">, </w:t>
      </w:r>
      <w:r>
        <w:rPr>
          <w:rFonts w:ascii="Times New Roman"/>
          <w:u w:val="single"/>
        </w:rPr>
        <w:tab/>
      </w:r>
      <w:r>
        <w:rPr>
          <w:rFonts w:ascii="Times New Roman"/>
        </w:rPr>
      </w:r>
    </w:p>
    <w:p>
      <w:pPr>
        <w:pStyle w:val="997"/>
        <w:pBdr/>
        <w:spacing w:before="15"/>
        <w:ind/>
        <w:rPr>
          <w:rFonts w:ascii="Times New Roman"/>
        </w:rPr>
      </w:pPr>
      <w:r>
        <w:rPr>
          <w:rFonts w:ascii="Times New Roman"/>
        </w:rPr>
      </w:r>
      <w:r>
        <w:rPr>
          <w:rFonts w:ascii="Times New Roman"/>
        </w:rPr>
      </w:r>
    </w:p>
    <w:p>
      <w:pPr>
        <w:pStyle w:val="997"/>
        <w:pBdr/>
        <w:tabs>
          <w:tab w:val="left" w:leader="none" w:pos="4301"/>
        </w:tabs>
        <w:spacing w:before="1"/>
        <w:ind w:left="283"/>
        <w:rPr>
          <w:rFonts w:ascii="Times New Roman"/>
        </w:rPr>
      </w:pPr>
      <w:r>
        <w:t xml:space="preserve">Per il Beneficiario, </w:t>
      </w:r>
      <w:r>
        <w:rPr>
          <w:rFonts w:ascii="Times New Roman"/>
          <w:u w:val="single"/>
        </w:rPr>
        <w:tab/>
      </w:r>
      <w:r>
        <w:rPr>
          <w:rFonts w:ascii="Times New Roman"/>
        </w:rPr>
      </w:r>
    </w:p>
    <w:p>
      <w:pPr>
        <w:pStyle w:val="997"/>
        <w:pBdr/>
        <w:spacing w:before="15"/>
        <w:ind/>
        <w:rPr>
          <w:rFonts w:ascii="Times New Roman"/>
        </w:rPr>
      </w:pPr>
      <w:r>
        <w:rPr>
          <w:rFonts w:ascii="Times New Roman"/>
        </w:rPr>
      </w:r>
      <w:r>
        <w:rPr>
          <w:rFonts w:ascii="Times New Roman"/>
        </w:rPr>
      </w:r>
    </w:p>
    <w:p>
      <w:pPr>
        <w:pStyle w:val="997"/>
        <w:pBdr/>
        <w:spacing w:before="15"/>
        <w:ind/>
        <w:rPr>
          <w:rFonts w:ascii="Times New Roman"/>
        </w:rPr>
      </w:pPr>
      <w:r>
        <w:rPr>
          <w:rFonts w:ascii="Times New Roman"/>
        </w:rPr>
      </w:r>
      <w:r>
        <w:rPr>
          <w:rFonts w:ascii="Times New Roman"/>
        </w:rPr>
      </w:r>
    </w:p>
    <w:p>
      <w:pPr>
        <w:pStyle w:val="997"/>
        <w:pBdr/>
        <w:spacing w:before="15"/>
        <w:ind/>
        <w:rPr>
          <w:rFonts w:ascii="Times New Roman"/>
        </w:rPr>
      </w:pPr>
      <w:r>
        <w:rPr>
          <w:rFonts w:ascii="Times New Roman"/>
        </w:rPr>
      </w:r>
      <w:r>
        <w:rPr>
          <w:rFonts w:ascii="Times New Roman"/>
        </w:rPr>
      </w:r>
    </w:p>
    <w:p>
      <w:pPr>
        <w:pStyle w:val="997"/>
        <w:pBdr/>
        <w:spacing w:before="15"/>
        <w:ind/>
        <w:rPr>
          <w:rFonts w:ascii="Times New Roman"/>
        </w:rPr>
      </w:pPr>
      <w:r>
        <w:rPr>
          <w:rFonts w:ascii="Times New Roman"/>
        </w:rPr>
      </w:r>
      <w:r>
        <w:rPr>
          <w:rFonts w:ascii="Times New Roman"/>
        </w:rPr>
      </w:r>
    </w:p>
    <w:p>
      <w:pPr>
        <w:pStyle w:val="997"/>
        <w:pBdr/>
        <w:spacing w:before="15"/>
        <w:ind/>
        <w:rPr>
          <w:rFonts w:ascii="Times New Roman"/>
        </w:rPr>
      </w:pPr>
      <w:r>
        <w:rPr>
          <w:rFonts w:ascii="Times New Roman"/>
        </w:rPr>
      </w:r>
      <w:r>
        <w:rPr>
          <w:rFonts w:ascii="Times New Roman"/>
        </w:rPr>
      </w:r>
    </w:p>
    <w:p>
      <w:pPr>
        <w:pStyle w:val="997"/>
        <w:pBdr/>
        <w:spacing/>
        <w:ind w:left="283"/>
        <w:rPr/>
      </w:pPr>
      <w:r>
        <w:rPr>
          <w:color w:val="2d73b4"/>
          <w:spacing w:val="-2"/>
        </w:rPr>
        <w:t xml:space="preserve">ALLEGATO</w:t>
      </w:r>
      <w:r>
        <w:rPr>
          <w:color w:val="2d73b4"/>
          <w:spacing w:val="-5"/>
        </w:rPr>
        <w:t xml:space="preserve"> </w:t>
      </w:r>
      <w:r>
        <w:rPr>
          <w:color w:val="2d73b4"/>
          <w:spacing w:val="-2"/>
        </w:rPr>
        <w:t xml:space="preserve">AL</w:t>
      </w:r>
      <w:r>
        <w:rPr>
          <w:color w:val="2d73b4"/>
          <w:spacing w:val="-4"/>
        </w:rPr>
        <w:t xml:space="preserve"> </w:t>
      </w:r>
      <w:r>
        <w:rPr>
          <w:color w:val="2d73b4"/>
          <w:spacing w:val="-2"/>
        </w:rPr>
        <w:t xml:space="preserve">DISCIPLINARE</w:t>
      </w:r>
      <w:r/>
    </w:p>
    <w:p>
      <w:pPr>
        <w:pStyle w:val="997"/>
        <w:pBdr/>
        <w:spacing/>
        <w:ind/>
        <w:rPr>
          <w:sz w:val="20"/>
        </w:rPr>
      </w:pPr>
      <w:r>
        <w:rPr>
          <w:sz w:val="20"/>
        </w:rPr>
        <mc:AlternateContent>
          <mc:Choice Requires="wpg">
            <w:drawing>
              <wp:anchor xmlns:wp="http://schemas.openxmlformats.org/drawingml/2006/wordprocessingDrawing" xmlns:wp14="http://schemas.microsoft.com/office/word/2010/wordprocessingDrawing" distT="0" distB="0" distL="0" distR="0" simplePos="0" relativeHeight="251671552" behindDoc="1" locked="0" layoutInCell="1" allowOverlap="1">
                <wp:simplePos x="0" y="0"/>
                <wp:positionH relativeFrom="page">
                  <wp:posOffset>702089</wp:posOffset>
                </wp:positionH>
                <wp:positionV relativeFrom="paragraph">
                  <wp:posOffset>170813</wp:posOffset>
                </wp:positionV>
                <wp:extent cx="6156325" cy="341630"/>
                <wp:effectExtent l="0" t="0" r="0" b="0"/>
                <wp:wrapTopAndBottom/>
                <wp:docPr id="3" name="Textbox 8"/>
                <wp:cNvGraphicFramePr/>
                <a:graphic xmlns:a="http://schemas.openxmlformats.org/drawingml/2006/main">
                  <a:graphicData uri="http://schemas.microsoft.com/office/word/2010/wordprocessingShape">
                    <wps:wsp>
                      <wps:cNvPr id="0" name=""/>
                      <wps:cNvSpPr txBox="1"/>
                      <wps:spPr bwMode="auto">
                        <a:xfrm>
                          <a:off x="0" y="0"/>
                          <a:ext cx="6156325" cy="341630"/>
                        </a:xfrm>
                        <a:prstGeom prst="rect">
                          <a:avLst/>
                        </a:prstGeom>
                        <a:solidFill>
                          <a:srgbClr val="F2F2F2"/>
                        </a:solidFill>
                      </wps:spPr>
                      <wps:txbx>
                        <w:txbxContent>
                          <w:p>
                            <w:pPr>
                              <w:pStyle w:val="997"/>
                              <w:pBdr/>
                              <w:spacing/>
                              <w:ind w:right="3569" w:firstLine="673" w:left="3720"/>
                              <w:rPr>
                                <w:color w:val="000000"/>
                              </w:rPr>
                            </w:pPr>
                            <w:r>
                              <w:rPr>
                                <w:color w:val="1f4c78"/>
                              </w:rPr>
                              <w:t xml:space="preserve">SEZIONE I</w:t>
                            </w:r>
                            <w:r>
                              <w:rPr>
                                <w:color w:val="1f4c78"/>
                                <w:spacing w:val="-2"/>
                              </w:rPr>
                              <w:t xml:space="preserve">SOGGETTIRESPONSABILI</w:t>
                            </w:r>
                            <w:r>
                              <w:rPr>
                                <w:color w:val="000000"/>
                              </w:rPr>
                            </w:r>
                          </w:p>
                        </w:txbxContent>
                      </wps:txbx>
                      <wps:bodyPr wrap="square" lIns="0" tIns="0" rIns="0" bIns="0" rtlCol="0"/>
                    </wps:wsp>
                  </a:graphicData>
                </a:graphic>
              </wp:anchor>
            </w:drawing>
          </mc:Choice>
          <mc:Fallback>
            <w:pict>
              <v:shape id="shape 2" o:spid="_x0000_s2" o:spt="202" type="#_x0000_t202" style="position:absolute;z-index:-251671552;o:allowoverlap:true;o:allowincell:true;mso-position-horizontal-relative:page;margin-left:55.28pt;mso-position-horizontal:absolute;mso-position-vertical-relative:text;margin-top:13.45pt;mso-position-vertical:absolute;width:484.75pt;height:26.90pt;mso-wrap-distance-left:0.00pt;mso-wrap-distance-top:0.00pt;mso-wrap-distance-right:0.00pt;mso-wrap-distance-bottom:0.00pt;visibility:visible;" fillcolor="#F2F2F2">
                <w10:wrap type="topAndBottom"/>
                <v:textbox inset="0,0,0,0">
                  <w:txbxContent>
                    <w:p>
                      <w:pPr>
                        <w:pStyle w:val="997"/>
                        <w:pBdr/>
                        <w:spacing/>
                        <w:ind w:right="3569" w:firstLine="673" w:left="3720"/>
                        <w:rPr>
                          <w:color w:val="000000"/>
                        </w:rPr>
                      </w:pPr>
                      <w:r>
                        <w:rPr>
                          <w:color w:val="1f4c78"/>
                        </w:rPr>
                        <w:t xml:space="preserve">SEZIONE I</w:t>
                      </w:r>
                      <w:r>
                        <w:rPr>
                          <w:color w:val="1f4c78"/>
                          <w:spacing w:val="-2"/>
                        </w:rPr>
                        <w:t xml:space="preserve">SOGGETTIRESPONSABILI</w:t>
                      </w:r>
                      <w:r>
                        <w:rPr>
                          <w:color w:val="000000"/>
                        </w:rPr>
                      </w:r>
                    </w:p>
                  </w:txbxContent>
                </v:textbox>
              </v:shape>
            </w:pict>
          </mc:Fallback>
        </mc:AlternateContent>
      </w:r>
      <w:r>
        <w:rPr>
          <w:sz w:val="20"/>
        </w:rPr>
      </w:r>
    </w:p>
    <w:p>
      <w:pPr>
        <w:pStyle w:val="998"/>
        <w:numPr>
          <w:ilvl w:val="1"/>
          <w:numId w:val="1"/>
        </w:numPr>
        <w:pBdr/>
        <w:tabs>
          <w:tab w:val="left" w:leader="none" w:pos="497"/>
        </w:tabs>
        <w:spacing w:before="268"/>
        <w:ind w:hanging="214" w:left="497"/>
        <w:rPr>
          <w:i/>
        </w:rPr>
      </w:pPr>
      <w:r>
        <w:rPr>
          <w:i/>
          <w:color w:val="1f4c78"/>
          <w:spacing w:val="-2"/>
        </w:rPr>
        <w:t xml:space="preserve">Amministrazione</w:t>
      </w:r>
      <w:r>
        <w:rPr>
          <w:i/>
          <w:color w:val="1f4c78"/>
          <w:spacing w:val="-11"/>
        </w:rPr>
        <w:t xml:space="preserve"> </w:t>
      </w:r>
      <w:r>
        <w:rPr>
          <w:i/>
          <w:color w:val="1f4c78"/>
          <w:spacing w:val="-2"/>
        </w:rPr>
        <w:t xml:space="preserve">responsabile</w:t>
      </w:r>
      <w:r>
        <w:rPr>
          <w:i/>
          <w:color w:val="1f4c78"/>
          <w:spacing w:val="-10"/>
        </w:rPr>
        <w:t xml:space="preserve"> </w:t>
      </w:r>
      <w:r>
        <w:rPr>
          <w:i/>
          <w:color w:val="1f4c78"/>
          <w:spacing w:val="-2"/>
        </w:rPr>
        <w:t xml:space="preserve">della</w:t>
      </w:r>
      <w:r>
        <w:rPr>
          <w:i/>
          <w:color w:val="1f4c78"/>
          <w:spacing w:val="-10"/>
        </w:rPr>
        <w:t xml:space="preserve"> </w:t>
      </w:r>
      <w:r>
        <w:rPr>
          <w:i/>
          <w:color w:val="1f4c78"/>
          <w:spacing w:val="-2"/>
        </w:rPr>
        <w:t xml:space="preserve">gestione</w:t>
      </w:r>
      <w:r>
        <w:rPr>
          <w:i/>
        </w:rPr>
      </w:r>
    </w:p>
    <w:tbl>
      <w:tblPr>
        <w:tblW w:w="0" w:type="auto"/>
        <w:tblInd w:w="14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1324"/>
        <w:gridCol w:w="8322"/>
      </w:tblGrid>
      <w:tr>
        <w:trPr>
          <w:trHeight w:val="805"/>
        </w:trPr>
        <w:tc>
          <w:tcPr>
            <w:tcBorders/>
            <w:tcW w:w="1324" w:type="dxa"/>
            <w:textDirection w:val="lrTb"/>
            <w:noWrap w:val="false"/>
          </w:tcPr>
          <w:p>
            <w:pPr>
              <w:pStyle w:val="999"/>
              <w:pBdr/>
              <w:spacing/>
              <w:ind w:left="149"/>
              <w:rPr>
                <w:b/>
              </w:rPr>
            </w:pPr>
            <w:r>
              <w:rPr>
                <w:b/>
                <w:spacing w:val="-4"/>
              </w:rPr>
              <w:t xml:space="preserve">Ente</w:t>
            </w:r>
            <w:r>
              <w:rPr>
                <w:b/>
              </w:rPr>
            </w:r>
          </w:p>
        </w:tc>
        <w:tc>
          <w:tcPr>
            <w:tcBorders/>
            <w:tcW w:w="8322" w:type="dxa"/>
            <w:textDirection w:val="lrTb"/>
            <w:noWrap w:val="false"/>
          </w:tcPr>
          <w:p>
            <w:pPr>
              <w:pStyle w:val="999"/>
              <w:pBdr/>
              <w:spacing w:line="270" w:lineRule="atLeast"/>
              <w:ind w:right="42" w:left="149"/>
              <w:rPr/>
            </w:pPr>
            <w:r>
              <w:rPr>
                <w:spacing w:val="-2"/>
              </w:rPr>
              <w:t xml:space="preserve">Regione </w:t>
            </w:r>
            <w:r>
              <w:t xml:space="preserve">Siciliana - </w:t>
            </w:r>
            <w:r>
              <w:rPr>
                <w:spacing w:val="-2"/>
              </w:rPr>
              <w:t xml:space="preserve">Dipartimento</w:t>
            </w:r>
            <w:r/>
          </w:p>
        </w:tc>
      </w:tr>
      <w:tr>
        <w:trPr>
          <w:trHeight w:val="801"/>
        </w:trPr>
        <w:tc>
          <w:tcPr>
            <w:tcBorders/>
            <w:tcW w:w="1324" w:type="dxa"/>
            <w:textDirection w:val="lrTb"/>
            <w:noWrap w:val="false"/>
          </w:tcPr>
          <w:p>
            <w:pPr>
              <w:pStyle w:val="999"/>
              <w:pBdr/>
              <w:spacing/>
              <w:ind w:right="41" w:left="149"/>
              <w:rPr/>
            </w:pPr>
            <w:r>
              <w:rPr>
                <w:spacing w:val="-2"/>
              </w:rPr>
              <w:t xml:space="preserve">Indirizzo </w:t>
            </w:r>
            <w:r>
              <w:t xml:space="preserve">(Civico,</w:t>
            </w:r>
            <w:r>
              <w:rPr>
                <w:spacing w:val="-13"/>
              </w:rPr>
              <w:t xml:space="preserve"> </w:t>
            </w:r>
            <w:r>
              <w:t xml:space="preserve">CAP,</w:t>
            </w:r>
            <w:r/>
          </w:p>
          <w:p>
            <w:pPr>
              <w:pStyle w:val="999"/>
              <w:pBdr/>
              <w:spacing w:line="248" w:lineRule="exact"/>
              <w:ind w:left="149"/>
              <w:rPr/>
            </w:pPr>
            <w:r>
              <w:rPr>
                <w:spacing w:val="-2"/>
              </w:rPr>
              <w:t xml:space="preserve">Località)</w:t>
            </w:r>
            <w:r/>
          </w:p>
        </w:tc>
        <w:tc>
          <w:tcPr>
            <w:tcBorders/>
            <w:tcW w:w="8322" w:type="dxa"/>
            <w:textDirection w:val="lrTb"/>
            <w:noWrap w:val="false"/>
          </w:tcPr>
          <w:p>
            <w:pPr>
              <w:pStyle w:val="999"/>
              <w:pBdr/>
              <w:spacing/>
              <w:ind/>
              <w:rPr>
                <w:rFonts w:ascii="Times New Roman"/>
              </w:rPr>
            </w:pPr>
            <w:r>
              <w:rPr>
                <w:rFonts w:ascii="Times New Roman"/>
              </w:rPr>
            </w:r>
            <w:r>
              <w:rPr>
                <w:rFonts w:ascii="Times New Roman"/>
              </w:rPr>
            </w:r>
          </w:p>
        </w:tc>
      </w:tr>
      <w:tr>
        <w:trPr>
          <w:trHeight w:val="1074"/>
        </w:trPr>
        <w:tc>
          <w:tcPr>
            <w:tcBorders/>
            <w:tcW w:w="1324" w:type="dxa"/>
            <w:textDirection w:val="lrTb"/>
            <w:noWrap w:val="false"/>
          </w:tcPr>
          <w:p>
            <w:pPr>
              <w:pStyle w:val="999"/>
              <w:pBdr/>
              <w:spacing w:line="270" w:lineRule="atLeast"/>
              <w:ind w:right="-6" w:left="149"/>
              <w:rPr>
                <w:i/>
              </w:rPr>
            </w:pPr>
            <w:r>
              <w:rPr>
                <w:i/>
                <w:spacing w:val="-2"/>
              </w:rPr>
              <w:t xml:space="preserve">Responsabile della</w:t>
            </w:r>
            <w:r>
              <w:rPr>
                <w:i/>
                <w:spacing w:val="40"/>
              </w:rPr>
              <w:t xml:space="preserve"> </w:t>
            </w:r>
            <w:r>
              <w:rPr>
                <w:i/>
                <w:spacing w:val="-2"/>
              </w:rPr>
              <w:t xml:space="preserve">gestione (UCO)</w:t>
            </w:r>
            <w:r>
              <w:rPr>
                <w:i/>
              </w:rPr>
            </w:r>
          </w:p>
        </w:tc>
        <w:tc>
          <w:tcPr>
            <w:tcBorders/>
            <w:tcW w:w="8322" w:type="dxa"/>
            <w:textDirection w:val="lrTb"/>
            <w:noWrap w:val="false"/>
          </w:tcPr>
          <w:p>
            <w:pPr>
              <w:pStyle w:val="999"/>
              <w:pBdr/>
              <w:spacing/>
              <w:ind/>
              <w:rPr>
                <w:rFonts w:ascii="Times New Roman"/>
              </w:rPr>
            </w:pPr>
            <w:r>
              <w:rPr>
                <w:rFonts w:ascii="Times New Roman"/>
              </w:rPr>
            </w:r>
            <w:r>
              <w:rPr>
                <w:rFonts w:ascii="Times New Roman"/>
              </w:rPr>
            </w:r>
          </w:p>
        </w:tc>
      </w:tr>
      <w:tr>
        <w:trPr>
          <w:trHeight w:val="262"/>
        </w:trPr>
        <w:tc>
          <w:tcPr>
            <w:tcBorders/>
            <w:tcW w:w="1324" w:type="dxa"/>
            <w:textDirection w:val="lrTb"/>
            <w:noWrap w:val="false"/>
          </w:tcPr>
          <w:p>
            <w:pPr>
              <w:pStyle w:val="999"/>
              <w:pBdr/>
              <w:spacing w:line="243" w:lineRule="exact"/>
              <w:ind w:left="149"/>
              <w:rPr/>
            </w:pPr>
            <w:r>
              <w:rPr>
                <w:spacing w:val="-2"/>
              </w:rPr>
              <w:t xml:space="preserve">Telefono</w:t>
            </w:r>
            <w:r/>
          </w:p>
        </w:tc>
        <w:tc>
          <w:tcPr>
            <w:tcBorders/>
            <w:tcW w:w="8322" w:type="dxa"/>
            <w:textDirection w:val="lrTb"/>
            <w:noWrap w:val="false"/>
          </w:tcPr>
          <w:p>
            <w:pPr>
              <w:pStyle w:val="999"/>
              <w:pBdr/>
              <w:spacing/>
              <w:ind/>
              <w:rPr>
                <w:rFonts w:ascii="Times New Roman"/>
                <w:sz w:val="18"/>
              </w:rPr>
            </w:pPr>
            <w:r>
              <w:rPr>
                <w:rFonts w:ascii="Times New Roman"/>
                <w:sz w:val="18"/>
              </w:rPr>
            </w:r>
            <w:r>
              <w:rPr>
                <w:rFonts w:ascii="Times New Roman"/>
                <w:sz w:val="18"/>
              </w:rPr>
            </w:r>
          </w:p>
        </w:tc>
      </w:tr>
      <w:tr>
        <w:trPr>
          <w:trHeight w:val="268"/>
        </w:trPr>
        <w:tc>
          <w:tcPr>
            <w:tcBorders/>
            <w:tcW w:w="1324" w:type="dxa"/>
            <w:textDirection w:val="lrTb"/>
            <w:noWrap w:val="false"/>
          </w:tcPr>
          <w:p>
            <w:pPr>
              <w:pStyle w:val="999"/>
              <w:pBdr/>
              <w:spacing w:line="248" w:lineRule="exact"/>
              <w:ind w:left="149"/>
              <w:rPr/>
            </w:pPr>
            <w:r>
              <w:rPr>
                <w:spacing w:val="-2"/>
              </w:rPr>
              <w:t xml:space="preserve">e-</w:t>
            </w:r>
            <w:r>
              <w:rPr>
                <w:spacing w:val="-4"/>
              </w:rPr>
              <w:t xml:space="preserve">mail</w:t>
            </w:r>
            <w:r/>
          </w:p>
        </w:tc>
        <w:tc>
          <w:tcPr>
            <w:tcBorders/>
            <w:tcW w:w="8322" w:type="dxa"/>
            <w:textDirection w:val="lrTb"/>
            <w:noWrap w:val="false"/>
          </w:tcPr>
          <w:p>
            <w:pPr>
              <w:pStyle w:val="999"/>
              <w:pBdr/>
              <w:spacing/>
              <w:ind/>
              <w:rPr>
                <w:rFonts w:ascii="Times New Roman"/>
                <w:sz w:val="18"/>
              </w:rPr>
            </w:pPr>
            <w:r>
              <w:rPr>
                <w:rFonts w:ascii="Times New Roman"/>
                <w:sz w:val="18"/>
              </w:rPr>
            </w:r>
            <w:r>
              <w:rPr>
                <w:rFonts w:ascii="Times New Roman"/>
                <w:sz w:val="18"/>
              </w:rPr>
            </w:r>
          </w:p>
        </w:tc>
      </w:tr>
      <w:tr>
        <w:trPr>
          <w:trHeight w:val="268"/>
        </w:trPr>
        <w:tc>
          <w:tcPr>
            <w:tcBorders/>
            <w:tcW w:w="1324" w:type="dxa"/>
            <w:textDirection w:val="lrTb"/>
            <w:noWrap w:val="false"/>
          </w:tcPr>
          <w:p>
            <w:pPr>
              <w:pStyle w:val="999"/>
              <w:pBdr/>
              <w:spacing w:line="248" w:lineRule="exact"/>
              <w:ind w:left="149"/>
              <w:rPr/>
            </w:pPr>
            <w:r>
              <w:rPr>
                <w:spacing w:val="-5"/>
              </w:rPr>
              <w:t xml:space="preserve">PEC</w:t>
            </w:r>
            <w:r/>
          </w:p>
        </w:tc>
        <w:tc>
          <w:tcPr>
            <w:tcBorders/>
            <w:tcW w:w="8322" w:type="dxa"/>
            <w:textDirection w:val="lrTb"/>
            <w:noWrap w:val="false"/>
          </w:tcPr>
          <w:p>
            <w:pPr>
              <w:pStyle w:val="999"/>
              <w:pBdr/>
              <w:spacing/>
              <w:ind/>
              <w:rPr>
                <w:rFonts w:ascii="Times New Roman"/>
                <w:sz w:val="18"/>
              </w:rPr>
            </w:pPr>
            <w:r>
              <w:rPr>
                <w:rFonts w:ascii="Times New Roman"/>
                <w:sz w:val="18"/>
              </w:rPr>
            </w:r>
            <w:r>
              <w:rPr>
                <w:rFonts w:ascii="Times New Roman"/>
                <w:sz w:val="18"/>
              </w:rPr>
            </w:r>
          </w:p>
        </w:tc>
      </w:tr>
      <w:tr>
        <w:trPr>
          <w:trHeight w:val="805"/>
        </w:trPr>
        <w:tc>
          <w:tcPr>
            <w:tcBorders/>
            <w:tcW w:w="1324" w:type="dxa"/>
            <w:textDirection w:val="lrTb"/>
            <w:noWrap w:val="false"/>
          </w:tcPr>
          <w:p>
            <w:pPr>
              <w:pStyle w:val="999"/>
              <w:pBdr/>
              <w:spacing w:line="270" w:lineRule="atLeast"/>
              <w:ind w:right="-15" w:left="149"/>
              <w:jc w:val="both"/>
              <w:rPr>
                <w:i/>
              </w:rPr>
            </w:pPr>
            <w:r>
              <w:rPr>
                <w:i/>
                <w:spacing w:val="-2"/>
              </w:rPr>
              <w:t xml:space="preserve">Responsabile </w:t>
            </w:r>
            <w:r>
              <w:rPr>
                <w:i/>
              </w:rPr>
              <w:t xml:space="preserve">del controllo </w:t>
            </w:r>
            <w:r>
              <w:rPr>
                <w:i/>
                <w:spacing w:val="-4"/>
              </w:rPr>
              <w:t xml:space="preserve">(UC)</w:t>
            </w:r>
            <w:r>
              <w:rPr>
                <w:i/>
              </w:rPr>
            </w:r>
          </w:p>
        </w:tc>
        <w:tc>
          <w:tcPr>
            <w:tcBorders/>
            <w:tcW w:w="8322" w:type="dxa"/>
            <w:textDirection w:val="lrTb"/>
            <w:noWrap w:val="false"/>
          </w:tcPr>
          <w:p>
            <w:pPr>
              <w:pStyle w:val="999"/>
              <w:pBdr/>
              <w:spacing/>
              <w:ind/>
              <w:rPr>
                <w:rFonts w:ascii="Times New Roman"/>
              </w:rPr>
            </w:pPr>
            <w:r>
              <w:rPr>
                <w:rFonts w:ascii="Times New Roman"/>
              </w:rPr>
            </w:r>
            <w:r>
              <w:rPr>
                <w:rFonts w:ascii="Times New Roman"/>
              </w:rPr>
            </w:r>
          </w:p>
        </w:tc>
      </w:tr>
      <w:tr>
        <w:trPr>
          <w:trHeight w:val="264"/>
        </w:trPr>
        <w:tc>
          <w:tcPr>
            <w:tcBorders/>
            <w:tcW w:w="1324" w:type="dxa"/>
            <w:textDirection w:val="lrTb"/>
            <w:noWrap w:val="false"/>
          </w:tcPr>
          <w:p>
            <w:pPr>
              <w:pStyle w:val="999"/>
              <w:pBdr/>
              <w:spacing w:line="244" w:lineRule="exact"/>
              <w:ind w:left="149"/>
              <w:rPr/>
            </w:pPr>
            <w:r>
              <w:rPr>
                <w:spacing w:val="-2"/>
              </w:rPr>
              <w:t xml:space="preserve">Telefono</w:t>
            </w:r>
            <w:r/>
          </w:p>
        </w:tc>
        <w:tc>
          <w:tcPr>
            <w:tcBorders/>
            <w:tcW w:w="8322" w:type="dxa"/>
            <w:textDirection w:val="lrTb"/>
            <w:noWrap w:val="false"/>
          </w:tcPr>
          <w:p>
            <w:pPr>
              <w:pStyle w:val="999"/>
              <w:pBdr/>
              <w:spacing/>
              <w:ind/>
              <w:rPr>
                <w:rFonts w:ascii="Times New Roman"/>
                <w:sz w:val="18"/>
              </w:rPr>
            </w:pPr>
            <w:r>
              <w:rPr>
                <w:rFonts w:ascii="Times New Roman"/>
                <w:sz w:val="18"/>
              </w:rPr>
            </w:r>
            <w:r>
              <w:rPr>
                <w:rFonts w:ascii="Times New Roman"/>
                <w:sz w:val="18"/>
              </w:rPr>
            </w:r>
          </w:p>
        </w:tc>
      </w:tr>
    </w:tbl>
    <w:tbl>
      <w:tblPr>
        <w:tblW w:w="0" w:type="auto"/>
        <w:tblInd w:w="14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1324"/>
        <w:gridCol w:w="8322"/>
      </w:tblGrid>
      <w:tr>
        <w:trPr>
          <w:trHeight w:val="268"/>
        </w:trPr>
        <w:tc>
          <w:tcPr>
            <w:tcBorders/>
            <w:tcW w:w="1324" w:type="dxa"/>
            <w:textDirection w:val="lrTb"/>
            <w:noWrap w:val="false"/>
          </w:tcPr>
          <w:p>
            <w:pPr>
              <w:pStyle w:val="999"/>
              <w:pBdr/>
              <w:spacing w:before="7" w:line="241" w:lineRule="exact"/>
              <w:ind w:left="149"/>
              <w:rPr/>
            </w:pPr>
            <w:r>
              <w:rPr>
                <w:spacing w:val="-2"/>
              </w:rPr>
              <w:t xml:space="preserve">e-</w:t>
            </w:r>
            <w:r>
              <w:rPr>
                <w:spacing w:val="-4"/>
              </w:rPr>
              <w:t xml:space="preserve">mail</w:t>
            </w:r>
            <w:r/>
          </w:p>
        </w:tc>
        <w:tc>
          <w:tcPr>
            <w:tcBorders/>
            <w:tcW w:w="8322" w:type="dxa"/>
            <w:textDirection w:val="lrTb"/>
            <w:noWrap w:val="false"/>
          </w:tcPr>
          <w:p>
            <w:pPr>
              <w:pStyle w:val="999"/>
              <w:pBdr/>
              <w:spacing/>
              <w:ind/>
              <w:rPr>
                <w:rFonts w:ascii="Times New Roman"/>
                <w:sz w:val="18"/>
              </w:rPr>
            </w:pPr>
            <w:r>
              <w:rPr>
                <w:rFonts w:ascii="Times New Roman"/>
                <w:sz w:val="18"/>
              </w:rPr>
            </w:r>
            <w:r>
              <w:rPr>
                <w:rFonts w:ascii="Times New Roman"/>
                <w:sz w:val="18"/>
              </w:rPr>
            </w:r>
          </w:p>
        </w:tc>
      </w:tr>
      <w:tr>
        <w:trPr>
          <w:trHeight w:val="268"/>
        </w:trPr>
        <w:tc>
          <w:tcPr>
            <w:tcBorders/>
            <w:tcW w:w="1324" w:type="dxa"/>
            <w:textDirection w:val="lrTb"/>
            <w:noWrap w:val="false"/>
          </w:tcPr>
          <w:p>
            <w:pPr>
              <w:pStyle w:val="999"/>
              <w:pBdr/>
              <w:spacing w:before="7" w:line="241" w:lineRule="exact"/>
              <w:ind w:left="149"/>
              <w:rPr/>
            </w:pPr>
            <w:r>
              <w:rPr>
                <w:spacing w:val="-5"/>
              </w:rPr>
              <w:t xml:space="preserve">PEC</w:t>
            </w:r>
            <w:r/>
          </w:p>
        </w:tc>
        <w:tc>
          <w:tcPr>
            <w:tcBorders/>
            <w:tcW w:w="8322" w:type="dxa"/>
            <w:textDirection w:val="lrTb"/>
            <w:noWrap w:val="false"/>
          </w:tcPr>
          <w:p>
            <w:pPr>
              <w:pStyle w:val="999"/>
              <w:pBdr/>
              <w:spacing/>
              <w:ind/>
              <w:rPr>
                <w:rFonts w:ascii="Times New Roman"/>
                <w:sz w:val="18"/>
              </w:rPr>
            </w:pPr>
            <w:r>
              <w:rPr>
                <w:rFonts w:ascii="Times New Roman"/>
                <w:sz w:val="18"/>
              </w:rPr>
            </w:r>
            <w:r>
              <w:rPr>
                <w:rFonts w:ascii="Times New Roman"/>
                <w:sz w:val="18"/>
              </w:rPr>
            </w:r>
          </w:p>
        </w:tc>
      </w:tr>
    </w:tbl>
    <w:p>
      <w:pPr>
        <w:pStyle w:val="997"/>
        <w:pBdr/>
        <w:spacing w:before="8"/>
        <w:ind/>
        <w:rPr>
          <w:i/>
        </w:rPr>
      </w:pPr>
      <w:r>
        <w:rPr>
          <w:i/>
        </w:rPr>
      </w:r>
      <w:r>
        <w:rPr>
          <w:i/>
        </w:rPr>
      </w:r>
    </w:p>
    <w:p>
      <w:pPr>
        <w:pStyle w:val="998"/>
        <w:numPr>
          <w:ilvl w:val="1"/>
          <w:numId w:val="1"/>
        </w:numPr>
        <w:pBdr/>
        <w:tabs>
          <w:tab w:val="left" w:leader="none" w:pos="497"/>
        </w:tabs>
        <w:spacing/>
        <w:ind w:hanging="214" w:left="497"/>
        <w:rPr>
          <w:i/>
        </w:rPr>
      </w:pPr>
      <w:r>
        <w:rPr>
          <w:i/>
          <w:color w:val="1f4c78"/>
          <w:spacing w:val="-2"/>
        </w:rPr>
        <w:t xml:space="preserve">Beneficiario</w:t>
      </w:r>
      <w:r>
        <w:rPr>
          <w:i/>
        </w:rPr>
      </w:r>
    </w:p>
    <w:tbl>
      <w:tblPr>
        <w:tblW w:w="0" w:type="auto"/>
        <w:tblInd w:w="14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1285"/>
        <w:gridCol w:w="8361"/>
      </w:tblGrid>
      <w:tr>
        <w:trPr>
          <w:trHeight w:val="300"/>
        </w:trPr>
        <w:tc>
          <w:tcPr>
            <w:tcBorders/>
            <w:tcW w:w="1285" w:type="dxa"/>
            <w:textDirection w:val="lrTb"/>
            <w:noWrap w:val="false"/>
          </w:tcPr>
          <w:p>
            <w:pPr>
              <w:pStyle w:val="999"/>
              <w:pBdr/>
              <w:spacing/>
              <w:ind w:left="149"/>
              <w:rPr>
                <w:b/>
              </w:rPr>
            </w:pPr>
            <w:r>
              <w:rPr>
                <w:b/>
                <w:spacing w:val="-4"/>
              </w:rPr>
              <w:t xml:space="preserve">Ente</w:t>
            </w:r>
            <w:r>
              <w:rPr>
                <w:b/>
              </w:rPr>
            </w:r>
          </w:p>
        </w:tc>
        <w:tc>
          <w:tcPr>
            <w:tcBorders/>
            <w:tcW w:w="8361" w:type="dxa"/>
            <w:textDirection w:val="lrTb"/>
            <w:noWrap w:val="false"/>
          </w:tcPr>
          <w:p>
            <w:pPr>
              <w:pStyle w:val="999"/>
              <w:pBdr/>
              <w:spacing/>
              <w:ind/>
              <w:rPr>
                <w:rFonts w:ascii="Times New Roman"/>
              </w:rPr>
            </w:pPr>
            <w:r>
              <w:rPr>
                <w:rFonts w:ascii="Times New Roman"/>
              </w:rPr>
            </w:r>
            <w:r>
              <w:rPr>
                <w:rFonts w:ascii="Times New Roman"/>
              </w:rPr>
            </w:r>
          </w:p>
        </w:tc>
      </w:tr>
      <w:tr>
        <w:trPr>
          <w:trHeight w:val="1074"/>
        </w:trPr>
        <w:tc>
          <w:tcPr>
            <w:tcBorders/>
            <w:tcW w:w="1285" w:type="dxa"/>
            <w:textDirection w:val="lrTb"/>
            <w:noWrap w:val="false"/>
          </w:tcPr>
          <w:p>
            <w:pPr>
              <w:pStyle w:val="999"/>
              <w:pBdr/>
              <w:spacing/>
              <w:ind w:right="145" w:left="149"/>
              <w:rPr/>
            </w:pPr>
            <w:r>
              <w:rPr>
                <w:spacing w:val="-2"/>
              </w:rPr>
              <w:t xml:space="preserve">Indirizzo (Civico, </w:t>
            </w:r>
            <w:r>
              <w:rPr>
                <w:spacing w:val="-4"/>
              </w:rPr>
              <w:t xml:space="preserve">CAP,</w:t>
            </w:r>
            <w:r/>
          </w:p>
          <w:p>
            <w:pPr>
              <w:pStyle w:val="999"/>
              <w:pBdr/>
              <w:spacing w:line="248" w:lineRule="exact"/>
              <w:ind w:left="149"/>
              <w:rPr/>
            </w:pPr>
            <w:r>
              <w:rPr>
                <w:spacing w:val="-2"/>
              </w:rPr>
              <w:t xml:space="preserve">Località)</w:t>
            </w:r>
            <w:r/>
          </w:p>
        </w:tc>
        <w:tc>
          <w:tcPr>
            <w:tcBorders/>
            <w:tcW w:w="8361" w:type="dxa"/>
            <w:textDirection w:val="lrTb"/>
            <w:noWrap w:val="false"/>
          </w:tcPr>
          <w:p>
            <w:pPr>
              <w:pStyle w:val="999"/>
              <w:pBdr/>
              <w:spacing/>
              <w:ind/>
              <w:rPr>
                <w:rFonts w:ascii="Times New Roman"/>
              </w:rPr>
            </w:pPr>
            <w:r>
              <w:rPr>
                <w:rFonts w:ascii="Times New Roman"/>
              </w:rPr>
            </w:r>
            <w:r>
              <w:rPr>
                <w:rFonts w:ascii="Times New Roman"/>
              </w:rPr>
            </w:r>
          </w:p>
        </w:tc>
      </w:tr>
      <w:tr>
        <w:trPr>
          <w:trHeight w:val="537"/>
        </w:trPr>
        <w:tc>
          <w:tcPr>
            <w:tcBorders/>
            <w:tcW w:w="1285" w:type="dxa"/>
            <w:textDirection w:val="lrTb"/>
            <w:noWrap w:val="false"/>
          </w:tcPr>
          <w:p>
            <w:pPr>
              <w:pStyle w:val="999"/>
              <w:pBdr/>
              <w:spacing w:line="270" w:lineRule="atLeast"/>
              <w:ind w:right="-15" w:left="149"/>
              <w:rPr>
                <w:b/>
              </w:rPr>
            </w:pPr>
            <w:r>
              <w:rPr>
                <w:b/>
                <w:spacing w:val="-2"/>
              </w:rPr>
              <w:t xml:space="preserve">Referente dell’Ente</w:t>
            </w:r>
            <w:r>
              <w:rPr>
                <w:b/>
              </w:rPr>
            </w:r>
          </w:p>
        </w:tc>
        <w:tc>
          <w:tcPr>
            <w:tcBorders/>
            <w:tcW w:w="8361" w:type="dxa"/>
            <w:textDirection w:val="lrTb"/>
            <w:noWrap w:val="false"/>
          </w:tcPr>
          <w:p>
            <w:pPr>
              <w:pStyle w:val="999"/>
              <w:pBdr/>
              <w:spacing/>
              <w:ind/>
              <w:rPr>
                <w:rFonts w:ascii="Times New Roman"/>
              </w:rPr>
            </w:pPr>
            <w:r>
              <w:rPr>
                <w:rFonts w:ascii="Times New Roman"/>
              </w:rPr>
            </w:r>
            <w:r>
              <w:rPr>
                <w:rFonts w:ascii="Times New Roman"/>
              </w:rPr>
            </w:r>
          </w:p>
        </w:tc>
      </w:tr>
      <w:tr>
        <w:trPr>
          <w:trHeight w:val="297"/>
        </w:trPr>
        <w:tc>
          <w:tcPr>
            <w:tcBorders/>
            <w:tcW w:w="1285" w:type="dxa"/>
            <w:textDirection w:val="lrTb"/>
            <w:noWrap w:val="false"/>
          </w:tcPr>
          <w:p>
            <w:pPr>
              <w:pStyle w:val="999"/>
              <w:pBdr/>
              <w:spacing w:line="266" w:lineRule="exact"/>
              <w:ind w:left="149"/>
              <w:rPr/>
            </w:pPr>
            <w:r>
              <w:rPr>
                <w:spacing w:val="-2"/>
              </w:rPr>
              <w:t xml:space="preserve">Telefono</w:t>
            </w:r>
            <w:r/>
          </w:p>
        </w:tc>
        <w:tc>
          <w:tcPr>
            <w:tcBorders/>
            <w:tcW w:w="8361" w:type="dxa"/>
            <w:textDirection w:val="lrTb"/>
            <w:noWrap w:val="false"/>
          </w:tcPr>
          <w:p>
            <w:pPr>
              <w:pStyle w:val="999"/>
              <w:pBdr/>
              <w:spacing/>
              <w:ind/>
              <w:rPr>
                <w:rFonts w:ascii="Times New Roman"/>
              </w:rPr>
            </w:pPr>
            <w:r>
              <w:rPr>
                <w:rFonts w:ascii="Times New Roman"/>
              </w:rPr>
            </w:r>
            <w:r>
              <w:rPr>
                <w:rFonts w:ascii="Times New Roman"/>
              </w:rPr>
            </w:r>
          </w:p>
        </w:tc>
      </w:tr>
      <w:tr>
        <w:trPr>
          <w:trHeight w:val="300"/>
        </w:trPr>
        <w:tc>
          <w:tcPr>
            <w:tcBorders/>
            <w:tcW w:w="1285" w:type="dxa"/>
            <w:textDirection w:val="lrTb"/>
            <w:noWrap w:val="false"/>
          </w:tcPr>
          <w:p>
            <w:pPr>
              <w:pStyle w:val="999"/>
              <w:pBdr/>
              <w:spacing/>
              <w:ind w:left="149"/>
              <w:rPr/>
            </w:pPr>
            <w:r>
              <w:rPr>
                <w:spacing w:val="-2"/>
              </w:rPr>
              <w:t xml:space="preserve">e-</w:t>
            </w:r>
            <w:r>
              <w:rPr>
                <w:spacing w:val="-4"/>
              </w:rPr>
              <w:t xml:space="preserve">mail</w:t>
            </w:r>
            <w:r/>
          </w:p>
        </w:tc>
        <w:tc>
          <w:tcPr>
            <w:tcBorders/>
            <w:tcW w:w="8361" w:type="dxa"/>
            <w:textDirection w:val="lrTb"/>
            <w:noWrap w:val="false"/>
          </w:tcPr>
          <w:p>
            <w:pPr>
              <w:pStyle w:val="999"/>
              <w:pBdr/>
              <w:spacing/>
              <w:ind/>
              <w:rPr>
                <w:rFonts w:ascii="Times New Roman"/>
              </w:rPr>
            </w:pPr>
            <w:r>
              <w:rPr>
                <w:rFonts w:ascii="Times New Roman"/>
              </w:rPr>
            </w:r>
            <w:r>
              <w:rPr>
                <w:rFonts w:ascii="Times New Roman"/>
              </w:rPr>
            </w:r>
          </w:p>
        </w:tc>
      </w:tr>
      <w:tr>
        <w:trPr>
          <w:trHeight w:val="1074"/>
        </w:trPr>
        <w:tc>
          <w:tcPr>
            <w:tcBorders/>
            <w:tcW w:w="1285" w:type="dxa"/>
            <w:textDirection w:val="lrTb"/>
            <w:noWrap w:val="false"/>
          </w:tcPr>
          <w:p>
            <w:pPr>
              <w:pStyle w:val="999"/>
              <w:pBdr/>
              <w:spacing w:line="270" w:lineRule="atLeast"/>
              <w:ind w:right="-15" w:left="149"/>
              <w:rPr>
                <w:b/>
              </w:rPr>
            </w:pPr>
            <w:r>
              <w:rPr>
                <w:b/>
                <w:spacing w:val="-2"/>
              </w:rPr>
              <w:t xml:space="preserve">Referente </w:t>
            </w:r>
            <w:r>
              <w:rPr>
                <w:b/>
                <w:spacing w:val="-6"/>
              </w:rPr>
              <w:t xml:space="preserve">di </w:t>
            </w:r>
            <w:r>
              <w:rPr>
                <w:b/>
                <w:spacing w:val="-2"/>
              </w:rPr>
              <w:t xml:space="preserve">progetto (RUP)</w:t>
            </w:r>
            <w:r>
              <w:rPr>
                <w:b/>
              </w:rPr>
            </w:r>
          </w:p>
        </w:tc>
        <w:tc>
          <w:tcPr>
            <w:tcBorders/>
            <w:tcW w:w="8361" w:type="dxa"/>
            <w:textDirection w:val="lrTb"/>
            <w:noWrap w:val="false"/>
          </w:tcPr>
          <w:p>
            <w:pPr>
              <w:pStyle w:val="999"/>
              <w:pBdr/>
              <w:spacing/>
              <w:ind/>
              <w:rPr>
                <w:rFonts w:ascii="Times New Roman"/>
              </w:rPr>
            </w:pPr>
            <w:r>
              <w:rPr>
                <w:rFonts w:ascii="Times New Roman"/>
              </w:rPr>
            </w:r>
            <w:r>
              <w:rPr>
                <w:rFonts w:ascii="Times New Roman"/>
              </w:rPr>
            </w:r>
          </w:p>
        </w:tc>
      </w:tr>
      <w:tr>
        <w:trPr>
          <w:trHeight w:val="294"/>
        </w:trPr>
        <w:tc>
          <w:tcPr>
            <w:tcBorders/>
            <w:tcW w:w="1285" w:type="dxa"/>
            <w:textDirection w:val="lrTb"/>
            <w:noWrap w:val="false"/>
          </w:tcPr>
          <w:p>
            <w:pPr>
              <w:pStyle w:val="999"/>
              <w:pBdr/>
              <w:spacing w:line="263" w:lineRule="exact"/>
              <w:ind w:left="149"/>
              <w:rPr/>
            </w:pPr>
            <w:r>
              <w:rPr>
                <w:spacing w:val="-2"/>
              </w:rPr>
              <w:t xml:space="preserve">Telefono</w:t>
            </w:r>
            <w:r/>
          </w:p>
        </w:tc>
        <w:tc>
          <w:tcPr>
            <w:tcBorders/>
            <w:tcW w:w="8361" w:type="dxa"/>
            <w:textDirection w:val="lrTb"/>
            <w:noWrap w:val="false"/>
          </w:tcPr>
          <w:p>
            <w:pPr>
              <w:pStyle w:val="999"/>
              <w:pBdr/>
              <w:spacing/>
              <w:ind/>
              <w:rPr>
                <w:rFonts w:ascii="Times New Roman"/>
              </w:rPr>
            </w:pPr>
            <w:r>
              <w:rPr>
                <w:rFonts w:ascii="Times New Roman"/>
              </w:rPr>
            </w:r>
            <w:r>
              <w:rPr>
                <w:rFonts w:ascii="Times New Roman"/>
              </w:rPr>
            </w:r>
          </w:p>
        </w:tc>
      </w:tr>
      <w:tr>
        <w:trPr>
          <w:trHeight w:val="300"/>
        </w:trPr>
        <w:tc>
          <w:tcPr>
            <w:tcBorders/>
            <w:tcW w:w="1285" w:type="dxa"/>
            <w:textDirection w:val="lrTb"/>
            <w:noWrap w:val="false"/>
          </w:tcPr>
          <w:p>
            <w:pPr>
              <w:pStyle w:val="999"/>
              <w:pBdr/>
              <w:spacing/>
              <w:ind w:left="149"/>
              <w:rPr/>
            </w:pPr>
            <w:r>
              <w:rPr>
                <w:spacing w:val="-2"/>
              </w:rPr>
              <w:t xml:space="preserve">e-</w:t>
            </w:r>
            <w:r>
              <w:rPr>
                <w:spacing w:val="-4"/>
              </w:rPr>
              <w:t xml:space="preserve">mail</w:t>
            </w:r>
            <w:r/>
          </w:p>
        </w:tc>
        <w:tc>
          <w:tcPr>
            <w:tcBorders/>
            <w:tcW w:w="8361" w:type="dxa"/>
            <w:textDirection w:val="lrTb"/>
            <w:noWrap w:val="false"/>
          </w:tcPr>
          <w:p>
            <w:pPr>
              <w:pStyle w:val="999"/>
              <w:pBdr/>
              <w:spacing/>
              <w:ind/>
              <w:rPr>
                <w:rFonts w:ascii="Times New Roman"/>
              </w:rPr>
            </w:pPr>
            <w:r>
              <w:rPr>
                <w:rFonts w:ascii="Times New Roman"/>
              </w:rPr>
            </w:r>
            <w:r>
              <w:rPr>
                <w:rFonts w:ascii="Times New Roman"/>
              </w:rPr>
            </w:r>
          </w:p>
        </w:tc>
      </w:tr>
      <w:tr>
        <w:trPr>
          <w:trHeight w:val="300"/>
        </w:trPr>
        <w:tc>
          <w:tcPr>
            <w:tcBorders/>
            <w:tcW w:w="1285" w:type="dxa"/>
            <w:textDirection w:val="lrTb"/>
            <w:noWrap w:val="false"/>
          </w:tcPr>
          <w:p>
            <w:pPr>
              <w:pStyle w:val="999"/>
              <w:pBdr/>
              <w:spacing/>
              <w:ind w:left="149"/>
              <w:rPr/>
            </w:pPr>
            <w:r>
              <w:rPr>
                <w:spacing w:val="-5"/>
              </w:rPr>
              <w:t xml:space="preserve">PEC</w:t>
            </w:r>
            <w:r/>
          </w:p>
        </w:tc>
        <w:tc>
          <w:tcPr>
            <w:tcBorders/>
            <w:tcW w:w="8361" w:type="dxa"/>
            <w:textDirection w:val="lrTb"/>
            <w:noWrap w:val="false"/>
          </w:tcPr>
          <w:p>
            <w:pPr>
              <w:pStyle w:val="999"/>
              <w:pBdr/>
              <w:spacing/>
              <w:ind/>
              <w:rPr>
                <w:rFonts w:ascii="Times New Roman"/>
              </w:rPr>
            </w:pPr>
            <w:r>
              <w:rPr>
                <w:rFonts w:ascii="Times New Roman"/>
              </w:rPr>
            </w:r>
            <w:r>
              <w:rPr>
                <w:rFonts w:ascii="Times New Roman"/>
              </w:rPr>
            </w:r>
          </w:p>
        </w:tc>
      </w:tr>
    </w:tbl>
    <w:p>
      <w:pPr>
        <w:pStyle w:val="997"/>
        <w:pBdr/>
        <w:spacing/>
        <w:ind/>
        <w:rPr>
          <w:i/>
          <w:sz w:val="20"/>
        </w:rPr>
      </w:pPr>
      <w:r>
        <w:rPr>
          <w:i/>
          <w:sz w:val="20"/>
        </w:rPr>
      </w:r>
      <w:r>
        <w:rPr>
          <w:i/>
          <w:sz w:val="20"/>
        </w:rPr>
      </w:r>
    </w:p>
    <w:p>
      <w:pPr>
        <w:pStyle w:val="997"/>
        <w:pBdr/>
        <w:spacing w:before="26"/>
        <w:ind/>
        <w:rPr>
          <w:bCs/>
          <w:i/>
          <w:sz w:val="20"/>
          <w:szCs w:val="20"/>
        </w:rPr>
      </w:pPr>
      <w:r>
        <w:rPr>
          <w:i/>
          <w:sz w:val="20"/>
          <w:highlight w:val="none"/>
        </w:rPr>
      </w:r>
      <w:r>
        <w:rPr>
          <w:i/>
          <w:sz w:val="20"/>
          <w:highlight w:val="none"/>
        </w:rPr>
      </w:r>
    </w:p>
    <w:p>
      <w:pPr>
        <w:pStyle w:val="997"/>
        <w:pBdr/>
        <w:spacing w:before="26"/>
        <w:ind/>
        <w:rPr>
          <w:bCs/>
          <w:i/>
          <w:sz w:val="20"/>
          <w:szCs w:val="20"/>
          <w:highlight w:val="none"/>
        </w:rPr>
      </w:pPr>
      <w:r>
        <w:rPr>
          <w:i/>
          <w:sz w:val="20"/>
          <w:highlight w:val="none"/>
        </w:rPr>
      </w:r>
      <w:r>
        <w:rPr>
          <w:i/>
          <w:sz w:val="20"/>
          <w:highlight w:val="none"/>
        </w:rPr>
      </w:r>
    </w:p>
    <w:p>
      <w:pPr>
        <w:pStyle w:val="997"/>
        <w:pBdr/>
        <w:spacing w:before="26"/>
        <w:ind/>
        <w:rPr>
          <w:bCs/>
          <w:i/>
          <w:sz w:val="20"/>
          <w:szCs w:val="20"/>
          <w:highlight w:val="none"/>
        </w:rPr>
      </w:pPr>
      <w:r>
        <w:rPr>
          <w:i/>
          <w:sz w:val="20"/>
          <w:highlight w:val="none"/>
        </w:rPr>
      </w:r>
      <w:r>
        <w:rPr>
          <w:i/>
          <w:sz w:val="20"/>
          <w:highlight w:val="none"/>
        </w:rPr>
      </w:r>
    </w:p>
    <w:p>
      <w:pPr>
        <w:pStyle w:val="997"/>
        <w:pBdr/>
        <w:spacing w:before="26"/>
        <w:ind/>
        <w:rPr>
          <w:bCs/>
          <w:i/>
          <w:sz w:val="20"/>
          <w:szCs w:val="20"/>
          <w:highlight w:val="none"/>
        </w:rPr>
      </w:pPr>
      <w:r>
        <w:rPr>
          <w:i/>
          <w:sz w:val="20"/>
          <w:highlight w:val="none"/>
        </w:rPr>
      </w:r>
      <w:r>
        <w:rPr>
          <w:i/>
          <w:sz w:val="20"/>
          <w:highlight w:val="none"/>
        </w:rPr>
      </w:r>
    </w:p>
    <w:p>
      <w:pPr>
        <w:pStyle w:val="997"/>
        <w:pBdr/>
        <w:spacing w:before="26"/>
        <w:ind/>
        <w:rPr>
          <w:bCs/>
          <w:i/>
          <w:sz w:val="20"/>
          <w:szCs w:val="20"/>
          <w:highlight w:val="none"/>
        </w:rPr>
      </w:pPr>
      <w:r>
        <w:rPr>
          <w:i/>
          <w:sz w:val="20"/>
          <w:highlight w:val="none"/>
        </w:rPr>
      </w:r>
      <w:r>
        <w:rPr>
          <w:i/>
          <w:sz w:val="20"/>
          <w:highlight w:val="none"/>
        </w:rPr>
      </w:r>
    </w:p>
    <w:p>
      <w:pPr>
        <w:pStyle w:val="997"/>
        <w:pBdr/>
        <w:spacing w:before="26"/>
        <w:ind/>
        <w:rPr>
          <w:bCs/>
          <w:i/>
          <w:sz w:val="20"/>
          <w:szCs w:val="20"/>
          <w:highlight w:val="none"/>
        </w:rPr>
      </w:pPr>
      <w:r>
        <w:rPr>
          <w:i/>
          <w:sz w:val="20"/>
          <w:highlight w:val="none"/>
        </w:rPr>
      </w:r>
      <w:r>
        <w:rPr>
          <w:i/>
          <w:sz w:val="20"/>
          <w:highlight w:val="none"/>
        </w:rPr>
      </w:r>
    </w:p>
    <w:p>
      <w:pPr>
        <w:pStyle w:val="997"/>
        <w:pBdr/>
        <w:spacing w:before="26"/>
        <w:ind/>
        <w:rPr>
          <w:bCs/>
          <w:i/>
          <w:sz w:val="20"/>
          <w:szCs w:val="20"/>
          <w:highlight w:val="none"/>
        </w:rPr>
      </w:pPr>
      <w:r>
        <w:rPr>
          <w:i/>
          <w:sz w:val="20"/>
          <w:highlight w:val="none"/>
        </w:rPr>
      </w:r>
      <w:r>
        <w:rPr>
          <w:i/>
          <w:sz w:val="20"/>
          <w:highlight w:val="none"/>
        </w:rPr>
      </w:r>
    </w:p>
    <w:p>
      <w:pPr>
        <w:pStyle w:val="997"/>
        <w:pBdr/>
        <w:spacing w:before="26"/>
        <w:ind/>
        <w:rPr>
          <w:bCs/>
          <w:i/>
          <w:sz w:val="20"/>
          <w:szCs w:val="20"/>
          <w:highlight w:val="none"/>
        </w:rPr>
      </w:pPr>
      <w:r>
        <w:rPr>
          <w:i/>
          <w:sz w:val="20"/>
        </w:rPr>
        <mc:AlternateContent>
          <mc:Choice Requires="wpg">
            <w:drawing>
              <wp:anchor xmlns:wp="http://schemas.openxmlformats.org/drawingml/2006/wordprocessingDrawing" xmlns:wp14="http://schemas.microsoft.com/office/word/2010/wordprocessingDrawing" distT="0" distB="0" distL="0" distR="0" simplePos="0" relativeHeight="251672576" behindDoc="1" locked="0" layoutInCell="1" allowOverlap="1">
                <wp:simplePos x="0" y="0"/>
                <wp:positionH relativeFrom="page">
                  <wp:posOffset>702089</wp:posOffset>
                </wp:positionH>
                <wp:positionV relativeFrom="paragraph">
                  <wp:posOffset>186805</wp:posOffset>
                </wp:positionV>
                <wp:extent cx="6156325" cy="341630"/>
                <wp:effectExtent l="0" t="0" r="0" b="0"/>
                <wp:wrapTopAndBottom/>
                <wp:docPr id="4" name="Textbox 9"/>
                <wp:cNvGraphicFramePr/>
                <a:graphic xmlns:a="http://schemas.openxmlformats.org/drawingml/2006/main">
                  <a:graphicData uri="http://schemas.microsoft.com/office/word/2010/wordprocessingShape">
                    <wps:wsp>
                      <wps:cNvPr id="0" name=""/>
                      <wps:cNvSpPr txBox="1"/>
                      <wps:spPr bwMode="auto">
                        <a:xfrm>
                          <a:off x="0" y="0"/>
                          <a:ext cx="6156325" cy="341630"/>
                        </a:xfrm>
                        <a:prstGeom prst="rect">
                          <a:avLst/>
                        </a:prstGeom>
                        <a:solidFill>
                          <a:srgbClr val="F2F2F2"/>
                        </a:solidFill>
                      </wps:spPr>
                      <wps:txbx>
                        <w:txbxContent>
                          <w:p>
                            <w:pPr>
                              <w:pStyle w:val="997"/>
                              <w:pBdr/>
                              <w:spacing/>
                              <w:ind w:right="54" w:left="5"/>
                              <w:jc w:val="center"/>
                              <w:rPr>
                                <w:color w:val="000000"/>
                              </w:rPr>
                            </w:pPr>
                            <w:r>
                              <w:rPr>
                                <w:color w:val="1f4c78"/>
                                <w:spacing w:val="-2"/>
                              </w:rPr>
                              <w:t xml:space="preserve">SEZIONE</w:t>
                            </w:r>
                            <w:r>
                              <w:rPr>
                                <w:color w:val="1f4c78"/>
                                <w:spacing w:val="-5"/>
                              </w:rPr>
                              <w:t xml:space="preserve">II</w:t>
                            </w:r>
                            <w:r>
                              <w:rPr>
                                <w:color w:val="000000"/>
                              </w:rPr>
                            </w:r>
                          </w:p>
                          <w:p>
                            <w:pPr>
                              <w:pStyle w:val="997"/>
                              <w:pBdr/>
                              <w:spacing/>
                              <w:ind w:right="54"/>
                              <w:jc w:val="center"/>
                              <w:rPr>
                                <w:color w:val="000000"/>
                              </w:rPr>
                            </w:pPr>
                            <w:r>
                              <w:rPr>
                                <w:color w:val="1f4c78"/>
                                <w:spacing w:val="-2"/>
                              </w:rPr>
                              <w:t xml:space="preserve">DESCRIZIONEECARATTERISTICHEDELL’OPERAZIONE</w:t>
                            </w:r>
                            <w:r>
                              <w:rPr>
                                <w:color w:val="000000"/>
                              </w:rPr>
                            </w:r>
                          </w:p>
                        </w:txbxContent>
                      </wps:txbx>
                      <wps:bodyPr wrap="square" lIns="0" tIns="0" rIns="0" bIns="0" rtlCol="0"/>
                    </wps:wsp>
                  </a:graphicData>
                </a:graphic>
              </wp:anchor>
            </w:drawing>
          </mc:Choice>
          <mc:Fallback>
            <w:pict>
              <v:shape id="shape 3" o:spid="_x0000_s3" o:spt="202" type="#_x0000_t202" style="position:absolute;z-index:-251672576;o:allowoverlap:true;o:allowincell:true;mso-position-horizontal-relative:page;margin-left:55.28pt;mso-position-horizontal:absolute;mso-position-vertical-relative:text;margin-top:14.71pt;mso-position-vertical:absolute;width:484.75pt;height:26.90pt;mso-wrap-distance-left:0.00pt;mso-wrap-distance-top:0.00pt;mso-wrap-distance-right:0.00pt;mso-wrap-distance-bottom:0.00pt;visibility:visible;" fillcolor="#F2F2F2">
                <w10:wrap type="topAndBottom"/>
                <v:textbox inset="0,0,0,0">
                  <w:txbxContent>
                    <w:p>
                      <w:pPr>
                        <w:pStyle w:val="997"/>
                        <w:pBdr/>
                        <w:spacing/>
                        <w:ind w:right="54" w:left="5"/>
                        <w:jc w:val="center"/>
                        <w:rPr>
                          <w:color w:val="000000"/>
                        </w:rPr>
                      </w:pPr>
                      <w:r>
                        <w:rPr>
                          <w:color w:val="1f4c78"/>
                          <w:spacing w:val="-2"/>
                        </w:rPr>
                        <w:t xml:space="preserve">SEZIONE</w:t>
                      </w:r>
                      <w:r>
                        <w:rPr>
                          <w:color w:val="1f4c78"/>
                          <w:spacing w:val="-5"/>
                        </w:rPr>
                        <w:t xml:space="preserve">II</w:t>
                      </w:r>
                      <w:r>
                        <w:rPr>
                          <w:color w:val="000000"/>
                        </w:rPr>
                      </w:r>
                    </w:p>
                    <w:p>
                      <w:pPr>
                        <w:pStyle w:val="997"/>
                        <w:pBdr/>
                        <w:spacing/>
                        <w:ind w:right="54"/>
                        <w:jc w:val="center"/>
                        <w:rPr>
                          <w:color w:val="000000"/>
                        </w:rPr>
                      </w:pPr>
                      <w:r>
                        <w:rPr>
                          <w:color w:val="1f4c78"/>
                          <w:spacing w:val="-2"/>
                        </w:rPr>
                        <w:t xml:space="preserve">DESCRIZIONEECARATTERISTICHEDELL’OPERAZIONE</w:t>
                      </w:r>
                      <w:r>
                        <w:rPr>
                          <w:color w:val="000000"/>
                        </w:rPr>
                      </w:r>
                    </w:p>
                  </w:txbxContent>
                </v:textbox>
              </v:shape>
            </w:pict>
          </mc:Fallback>
        </mc:AlternateContent>
      </w:r>
      <w:r>
        <w:rPr>
          <w:i/>
          <w:sz w:val="20"/>
        </w:rPr>
      </w:r>
    </w:p>
    <w:p>
      <w:pPr>
        <w:pStyle w:val="998"/>
        <w:numPr>
          <w:ilvl w:val="1"/>
          <w:numId w:val="1"/>
        </w:numPr>
        <w:pBdr/>
        <w:tabs>
          <w:tab w:val="left" w:leader="none" w:pos="497"/>
        </w:tabs>
        <w:spacing w:before="268"/>
        <w:ind w:hanging="214" w:left="497"/>
        <w:rPr>
          <w:i/>
        </w:rPr>
      </w:pPr>
      <w:r>
        <w:rPr>
          <w:i/>
          <w:color w:val="1f4c78"/>
          <w:spacing w:val="-2"/>
        </w:rPr>
        <w:t xml:space="preserve">Anagrafica</w:t>
      </w:r>
      <w:r>
        <w:rPr>
          <w:i/>
          <w:color w:val="1f4c78"/>
          <w:spacing w:val="-9"/>
        </w:rPr>
        <w:t xml:space="preserve"> </w:t>
      </w:r>
      <w:r>
        <w:rPr>
          <w:i/>
          <w:color w:val="1f4c78"/>
          <w:spacing w:val="-2"/>
        </w:rPr>
        <w:t xml:space="preserve">dell’Operazione</w:t>
      </w:r>
      <w:r>
        <w:rPr>
          <w:i/>
        </w:rPr>
      </w:r>
    </w:p>
    <w:tbl>
      <w:tblPr>
        <w:tblW w:w="0" w:type="auto"/>
        <w:tblInd w:w="14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1472"/>
        <w:gridCol w:w="8174"/>
      </w:tblGrid>
      <w:tr>
        <w:trPr>
          <w:trHeight w:val="300"/>
        </w:trPr>
        <w:tc>
          <w:tcPr>
            <w:tcBorders/>
            <w:tcW w:w="1472" w:type="dxa"/>
            <w:textDirection w:val="lrTb"/>
            <w:noWrap w:val="false"/>
          </w:tcPr>
          <w:p>
            <w:pPr>
              <w:pStyle w:val="999"/>
              <w:pBdr/>
              <w:spacing/>
              <w:ind w:left="149"/>
              <w:rPr/>
            </w:pPr>
            <w:r>
              <w:t xml:space="preserve">Codice</w:t>
            </w:r>
            <w:r>
              <w:rPr>
                <w:spacing w:val="-5"/>
              </w:rPr>
              <w:t xml:space="preserve"> CUP</w:t>
            </w:r>
            <w:r/>
          </w:p>
        </w:tc>
        <w:tc>
          <w:tcPr>
            <w:tcBorders/>
            <w:tcW w:w="8174" w:type="dxa"/>
            <w:textDirection w:val="lrTb"/>
            <w:noWrap w:val="false"/>
          </w:tcPr>
          <w:p>
            <w:pPr>
              <w:pStyle w:val="999"/>
              <w:pBdr/>
              <w:spacing/>
              <w:ind/>
              <w:rPr>
                <w:rFonts w:ascii="Times New Roman"/>
              </w:rPr>
            </w:pPr>
            <w:r>
              <w:rPr>
                <w:rFonts w:ascii="Times New Roman"/>
              </w:rPr>
            </w:r>
            <w:r>
              <w:rPr>
                <w:rFonts w:ascii="Times New Roman"/>
              </w:rPr>
            </w:r>
          </w:p>
        </w:tc>
      </w:tr>
      <w:tr>
        <w:trPr>
          <w:trHeight w:val="537"/>
        </w:trPr>
        <w:tc>
          <w:tcPr>
            <w:tcBorders/>
            <w:tcW w:w="1472" w:type="dxa"/>
            <w:textDirection w:val="lrTb"/>
            <w:noWrap w:val="false"/>
          </w:tcPr>
          <w:p>
            <w:pPr>
              <w:pStyle w:val="999"/>
              <w:pBdr/>
              <w:spacing w:line="270" w:lineRule="atLeast"/>
              <w:ind w:right="587" w:left="149"/>
              <w:rPr/>
            </w:pPr>
            <w:r>
              <w:rPr>
                <w:spacing w:val="-2"/>
              </w:rPr>
              <w:t xml:space="preserve">Codice Caronte</w:t>
            </w:r>
            <w:r/>
          </w:p>
        </w:tc>
        <w:tc>
          <w:tcPr>
            <w:tcBorders/>
            <w:tcW w:w="8174" w:type="dxa"/>
            <w:textDirection w:val="lrTb"/>
            <w:noWrap w:val="false"/>
          </w:tcPr>
          <w:p>
            <w:pPr>
              <w:pStyle w:val="999"/>
              <w:pBdr/>
              <w:spacing/>
              <w:ind/>
              <w:rPr>
                <w:rFonts w:ascii="Times New Roman"/>
              </w:rPr>
            </w:pPr>
            <w:r>
              <w:rPr>
                <w:rFonts w:ascii="Times New Roman"/>
              </w:rPr>
            </w:r>
            <w:r>
              <w:rPr>
                <w:rFonts w:ascii="Times New Roman"/>
              </w:rPr>
            </w:r>
          </w:p>
        </w:tc>
      </w:tr>
      <w:tr>
        <w:trPr>
          <w:trHeight w:val="534"/>
        </w:trPr>
        <w:tc>
          <w:tcPr>
            <w:tcBorders/>
            <w:tcW w:w="1472" w:type="dxa"/>
            <w:textDirection w:val="lrTb"/>
            <w:noWrap w:val="false"/>
          </w:tcPr>
          <w:p>
            <w:pPr>
              <w:pStyle w:val="999"/>
              <w:pBdr/>
              <w:spacing w:line="266" w:lineRule="exact"/>
              <w:ind w:left="149"/>
              <w:rPr/>
            </w:pPr>
            <w:r>
              <w:rPr>
                <w:spacing w:val="-2"/>
              </w:rPr>
              <w:t xml:space="preserve">Titolo</w:t>
            </w:r>
            <w:r/>
          </w:p>
          <w:p>
            <w:pPr>
              <w:pStyle w:val="999"/>
              <w:pBdr/>
              <w:spacing w:line="248" w:lineRule="exact"/>
              <w:ind w:left="149"/>
              <w:rPr/>
            </w:pPr>
            <w:r>
              <w:rPr>
                <w:spacing w:val="-2"/>
              </w:rPr>
              <w:t xml:space="preserve">Operazione</w:t>
            </w:r>
            <w:r/>
          </w:p>
        </w:tc>
        <w:tc>
          <w:tcPr>
            <w:tcBorders/>
            <w:tcW w:w="8174" w:type="dxa"/>
            <w:textDirection w:val="lrTb"/>
            <w:noWrap w:val="false"/>
          </w:tcPr>
          <w:p>
            <w:pPr>
              <w:pStyle w:val="999"/>
              <w:pBdr/>
              <w:spacing/>
              <w:ind/>
              <w:rPr>
                <w:rFonts w:ascii="Times New Roman"/>
              </w:rPr>
            </w:pPr>
            <w:r>
              <w:rPr>
                <w:rFonts w:ascii="Times New Roman"/>
              </w:rPr>
            </w:r>
            <w:r>
              <w:rPr>
                <w:rFonts w:ascii="Times New Roman"/>
              </w:rPr>
            </w:r>
          </w:p>
        </w:tc>
      </w:tr>
      <w:tr>
        <w:trPr>
          <w:trHeight w:val="537"/>
        </w:trPr>
        <w:tc>
          <w:tcPr>
            <w:tcBorders/>
            <w:tcW w:w="1472" w:type="dxa"/>
            <w:textDirection w:val="lrTb"/>
            <w:noWrap w:val="false"/>
          </w:tcPr>
          <w:p>
            <w:pPr>
              <w:pStyle w:val="999"/>
              <w:pBdr/>
              <w:spacing w:line="270" w:lineRule="atLeast"/>
              <w:ind w:left="149"/>
              <w:rPr/>
            </w:pPr>
            <w:r>
              <w:rPr>
                <w:spacing w:val="-2"/>
              </w:rPr>
              <w:t xml:space="preserve">Settore/i Operazione</w:t>
            </w:r>
            <w:r/>
          </w:p>
        </w:tc>
        <w:tc>
          <w:tcPr>
            <w:tcBorders/>
            <w:tcW w:w="8174" w:type="dxa"/>
            <w:textDirection w:val="lrTb"/>
            <w:noWrap w:val="false"/>
          </w:tcPr>
          <w:p>
            <w:pPr>
              <w:pStyle w:val="999"/>
              <w:pBdr/>
              <w:spacing/>
              <w:ind/>
              <w:rPr>
                <w:rFonts w:ascii="Times New Roman"/>
              </w:rPr>
            </w:pPr>
            <w:r>
              <w:rPr>
                <w:rFonts w:ascii="Times New Roman"/>
              </w:rPr>
            </w:r>
            <w:r>
              <w:rPr>
                <w:rFonts w:ascii="Times New Roman"/>
              </w:rPr>
            </w:r>
          </w:p>
        </w:tc>
      </w:tr>
      <w:tr>
        <w:trPr>
          <w:trHeight w:val="297"/>
        </w:trPr>
        <w:tc>
          <w:tcPr>
            <w:tcBorders/>
            <w:tcW w:w="1472" w:type="dxa"/>
            <w:vMerge w:val="restart"/>
            <w:textDirection w:val="lrTb"/>
            <w:noWrap w:val="false"/>
          </w:tcPr>
          <w:p>
            <w:pPr>
              <w:pStyle w:val="999"/>
              <w:pBdr/>
              <w:spacing w:before="59"/>
              <w:ind/>
              <w:rPr>
                <w:i/>
              </w:rPr>
            </w:pPr>
            <w:r>
              <w:rPr>
                <w:i/>
              </w:rPr>
            </w:r>
            <w:r>
              <w:rPr>
                <w:i/>
              </w:rPr>
            </w:r>
          </w:p>
          <w:p>
            <w:pPr>
              <w:pStyle w:val="999"/>
              <w:pBdr/>
              <w:spacing w:before="1"/>
              <w:ind w:left="149"/>
              <w:rPr/>
            </w:pPr>
            <w:r>
              <w:rPr>
                <w:spacing w:val="-2"/>
              </w:rPr>
              <w:t xml:space="preserve">Localizzazione</w:t>
            </w:r>
            <w:r/>
          </w:p>
        </w:tc>
        <w:tc>
          <w:tcPr>
            <w:tcBorders/>
            <w:tcW w:w="8174" w:type="dxa"/>
            <w:textDirection w:val="lrTb"/>
            <w:noWrap w:val="false"/>
          </w:tcPr>
          <w:p>
            <w:pPr>
              <w:pStyle w:val="999"/>
              <w:pBdr/>
              <w:spacing w:line="266" w:lineRule="exact"/>
              <w:ind w:left="149"/>
              <w:rPr/>
            </w:pPr>
            <w:r>
              <w:rPr>
                <w:spacing w:val="-2"/>
              </w:rPr>
              <w:t xml:space="preserve">Regione</w:t>
            </w:r>
            <w:r/>
          </w:p>
        </w:tc>
      </w:tr>
      <w:tr>
        <w:trPr>
          <w:trHeight w:val="300"/>
        </w:trPr>
        <w:tc>
          <w:tcPr>
            <w:tcBorders>
              <w:top w:val="none" w:color="000000" w:sz="4" w:space="0"/>
            </w:tcBorders>
            <w:tcW w:w="1472" w:type="dxa"/>
            <w:vMerge w:val="continue"/>
            <w:textDirection w:val="lrTb"/>
            <w:noWrap w:val="false"/>
          </w:tcPr>
          <w:p>
            <w:pPr>
              <w:pBdr/>
              <w:spacing/>
              <w:ind/>
              <w:rPr>
                <w:sz w:val="2"/>
                <w:szCs w:val="2"/>
              </w:rPr>
            </w:pPr>
            <w:r>
              <w:rPr>
                <w:sz w:val="2"/>
                <w:szCs w:val="2"/>
              </w:rPr>
            </w:r>
            <w:r>
              <w:rPr>
                <w:sz w:val="2"/>
                <w:szCs w:val="2"/>
              </w:rPr>
            </w:r>
          </w:p>
        </w:tc>
        <w:tc>
          <w:tcPr>
            <w:tcBorders/>
            <w:tcW w:w="8174" w:type="dxa"/>
            <w:textDirection w:val="lrTb"/>
            <w:noWrap w:val="false"/>
          </w:tcPr>
          <w:p>
            <w:pPr>
              <w:pStyle w:val="999"/>
              <w:pBdr/>
              <w:spacing/>
              <w:ind w:left="149"/>
              <w:rPr/>
            </w:pPr>
            <w:r>
              <w:rPr>
                <w:spacing w:val="-2"/>
              </w:rPr>
              <w:t xml:space="preserve">Provincia/e</w:t>
            </w:r>
            <w:r/>
          </w:p>
        </w:tc>
      </w:tr>
      <w:tr>
        <w:trPr>
          <w:trHeight w:val="300"/>
        </w:trPr>
        <w:tc>
          <w:tcPr>
            <w:tcBorders>
              <w:top w:val="none" w:color="000000" w:sz="4" w:space="0"/>
            </w:tcBorders>
            <w:tcW w:w="1472" w:type="dxa"/>
            <w:vMerge w:val="continue"/>
            <w:textDirection w:val="lrTb"/>
            <w:noWrap w:val="false"/>
          </w:tcPr>
          <w:p>
            <w:pPr>
              <w:pBdr/>
              <w:spacing/>
              <w:ind/>
              <w:rPr>
                <w:sz w:val="2"/>
                <w:szCs w:val="2"/>
              </w:rPr>
            </w:pPr>
            <w:r>
              <w:rPr>
                <w:sz w:val="2"/>
                <w:szCs w:val="2"/>
              </w:rPr>
            </w:r>
            <w:r>
              <w:rPr>
                <w:sz w:val="2"/>
                <w:szCs w:val="2"/>
              </w:rPr>
            </w:r>
          </w:p>
        </w:tc>
        <w:tc>
          <w:tcPr>
            <w:tcBorders/>
            <w:tcW w:w="8174" w:type="dxa"/>
            <w:textDirection w:val="lrTb"/>
            <w:noWrap w:val="false"/>
          </w:tcPr>
          <w:p>
            <w:pPr>
              <w:pStyle w:val="999"/>
              <w:pBdr/>
              <w:spacing/>
              <w:ind w:left="149"/>
              <w:rPr/>
            </w:pPr>
            <w:r>
              <w:rPr>
                <w:spacing w:val="-2"/>
              </w:rPr>
              <w:t xml:space="preserve">Comune/i</w:t>
            </w:r>
            <w:r/>
          </w:p>
        </w:tc>
      </w:tr>
    </w:tbl>
    <w:p>
      <w:pPr>
        <w:pStyle w:val="997"/>
        <w:pBdr/>
        <w:spacing/>
        <w:ind/>
        <w:rPr>
          <w:i/>
        </w:rPr>
      </w:pPr>
      <w:r>
        <w:rPr>
          <w:i/>
        </w:rPr>
      </w:r>
      <w:r>
        <w:rPr>
          <w:i/>
        </w:rPr>
      </w:r>
    </w:p>
    <w:p>
      <w:pPr>
        <w:pStyle w:val="997"/>
        <w:pBdr/>
        <w:spacing/>
        <w:ind/>
        <w:rPr>
          <w:i/>
        </w:rPr>
      </w:pPr>
      <w:r>
        <w:rPr>
          <w:i/>
        </w:rPr>
      </w:r>
      <w:r>
        <w:rPr>
          <w:i/>
        </w:rPr>
      </w:r>
    </w:p>
    <w:p>
      <w:pPr>
        <w:pStyle w:val="997"/>
        <w:pBdr/>
        <w:spacing w:before="25"/>
        <w:ind/>
        <w:rPr>
          <w:i/>
        </w:rPr>
      </w:pPr>
      <w:r>
        <w:rPr>
          <w:i/>
        </w:rPr>
      </w:r>
      <w:r>
        <w:rPr>
          <w:i/>
        </w:rPr>
      </w:r>
    </w:p>
    <w:p>
      <w:pPr>
        <w:pStyle w:val="998"/>
        <w:numPr>
          <w:ilvl w:val="1"/>
          <w:numId w:val="1"/>
        </w:numPr>
        <w:pBdr/>
        <w:tabs>
          <w:tab w:val="left" w:leader="none" w:pos="497"/>
        </w:tabs>
        <w:spacing/>
        <w:ind w:hanging="214" w:left="497"/>
        <w:rPr>
          <w:i/>
        </w:rPr>
      </w:pPr>
      <w:r>
        <w:rPr>
          <w:i/>
          <w:color w:val="1f4c78"/>
          <w:spacing w:val="-2"/>
        </w:rPr>
        <w:t xml:space="preserve">Descrizione</w:t>
      </w:r>
      <w:r>
        <w:rPr>
          <w:i/>
          <w:color w:val="1f4c78"/>
          <w:spacing w:val="-7"/>
        </w:rPr>
        <w:t xml:space="preserve"> </w:t>
      </w:r>
      <w:r>
        <w:rPr>
          <w:i/>
          <w:color w:val="1f4c78"/>
          <w:spacing w:val="-2"/>
        </w:rPr>
        <w:t xml:space="preserve">sintetica</w:t>
      </w:r>
      <w:r>
        <w:rPr>
          <w:i/>
          <w:color w:val="1f4c78"/>
          <w:spacing w:val="-6"/>
        </w:rPr>
        <w:t xml:space="preserve"> </w:t>
      </w:r>
      <w:r>
        <w:rPr>
          <w:i/>
          <w:color w:val="1f4c78"/>
          <w:spacing w:val="-2"/>
        </w:rPr>
        <w:t xml:space="preserve">dell’Operazione</w:t>
      </w:r>
      <w:r>
        <w:rPr>
          <w:i/>
        </w:rPr>
      </w:r>
    </w:p>
    <w:p>
      <w:pPr>
        <w:pStyle w:val="997"/>
        <w:pBdr/>
        <w:spacing w:before="7"/>
        <w:ind/>
        <w:rPr>
          <w:i/>
          <w:sz w:val="19"/>
        </w:rPr>
      </w:pPr>
      <w:r>
        <w:rPr>
          <w:i/>
          <w:sz w:val="19"/>
        </w:rPr>
        <mc:AlternateContent>
          <mc:Choice Requires="wpg">
            <w:drawing>
              <wp:anchor xmlns:wp="http://schemas.openxmlformats.org/drawingml/2006/wordprocessingDrawing" xmlns:wp14="http://schemas.microsoft.com/office/word/2010/wordprocessingDrawing" distT="0" distB="0" distL="0" distR="0" simplePos="0" relativeHeight="251673600" behindDoc="1" locked="0" layoutInCell="1" allowOverlap="1">
                <wp:simplePos x="0" y="0"/>
                <wp:positionH relativeFrom="page">
                  <wp:posOffset>807084</wp:posOffset>
                </wp:positionH>
                <wp:positionV relativeFrom="paragraph">
                  <wp:posOffset>170137</wp:posOffset>
                </wp:positionV>
                <wp:extent cx="6080760" cy="838200"/>
                <wp:effectExtent l="0" t="0" r="0" b="0"/>
                <wp:wrapTopAndBottom/>
                <wp:docPr id="5" name="Graphic 10"/>
                <wp:cNvGraphicFramePr/>
                <a:graphic xmlns:a="http://schemas.openxmlformats.org/drawingml/2006/main">
                  <a:graphicData uri="http://schemas.microsoft.com/office/word/2010/wordprocessingShape">
                    <wps:wsp>
                      <wps:cNvPr id="0" name=""/>
                      <wps:cNvSpPr/>
                      <wps:spPr bwMode="auto">
                        <a:xfrm>
                          <a:off x="0" y="0"/>
                          <a:ext cx="6080760" cy="838200"/>
                        </a:xfrm>
                        <a:custGeom>
                          <a:avLst/>
                          <a:gdLst/>
                          <a:ahLst/>
                          <a:cxnLst/>
                          <a:rect l="l" t="t" r="r" b="b"/>
                          <a:pathLst>
                            <a:path w="6080760" h="838200" fill="norm" stroke="1" extrusionOk="0">
                              <a:moveTo>
                                <a:pt x="3175" y="0"/>
                              </a:moveTo>
                              <a:lnTo>
                                <a:pt x="3175" y="838199"/>
                              </a:lnTo>
                            </a:path>
                            <a:path w="6080760" h="838200" fill="norm" stroke="1" extrusionOk="0">
                              <a:moveTo>
                                <a:pt x="6077585" y="0"/>
                              </a:moveTo>
                              <a:lnTo>
                                <a:pt x="6077585" y="838199"/>
                              </a:lnTo>
                            </a:path>
                            <a:path w="6080760" h="838200" fill="norm" stroke="1" extrusionOk="0">
                              <a:moveTo>
                                <a:pt x="6350" y="0"/>
                              </a:moveTo>
                              <a:lnTo>
                                <a:pt x="6074409" y="0"/>
                              </a:lnTo>
                            </a:path>
                            <a:path w="6080760" h="838200" fill="norm" stroke="1" extrusionOk="0">
                              <a:moveTo>
                                <a:pt x="0" y="838199"/>
                              </a:moveTo>
                              <a:lnTo>
                                <a:pt x="6080759" y="838199"/>
                              </a:lnTo>
                            </a:path>
                          </a:pathLst>
                        </a:custGeom>
                        <a:ln w="6349">
                          <a:solidFill>
                            <a:srgbClr val="000000"/>
                          </a:solidFill>
                          <a:prstDash val="solid"/>
                        </a:ln>
                      </wps:spPr>
                      <wps:bodyPr rot="0">
                        <a:prstTxWarp prst="textNoShape">
                          <a:avLst/>
                        </a:prstTxWarp>
                        <a:noAutofit/>
                      </wps:bodyPr>
                    </wps:wsp>
                  </a:graphicData>
                </a:graphic>
              </wp:anchor>
            </w:drawing>
          </mc:Choice>
          <mc:Fallback>
            <w:pict>
              <v:shape id="shape 4" o:spid="_x0000_s4" style="position:absolute;z-index:-251673600;o:allowoverlap:true;o:allowincell:true;mso-position-horizontal-relative:page;margin-left:63.55pt;mso-position-horizontal:absolute;mso-position-vertical-relative:text;margin-top:13.40pt;mso-position-vertical:absolute;width:478.80pt;height:66.00pt;mso-wrap-distance-left:0.00pt;mso-wrap-distance-top:0.00pt;mso-wrap-distance-right:0.00pt;mso-wrap-distance-bottom:0.00pt;visibility:visible;" path="m51,0l51,99998em99947,0l99947,99998em104,0l99894,0em0,99998l99998,99998e" coordsize="100000,100000" filled="f" strokecolor="#000000" strokeweight="0.50pt">
                <v:path textboxrect="0,0,100000,100000"/>
                <v:stroke dashstyle="solid"/>
                <w10:wrap type="topAndBottom"/>
              </v:shape>
            </w:pict>
          </mc:Fallback>
        </mc:AlternateContent>
      </w:r>
      <w:r>
        <w:rPr>
          <w:i/>
          <w:sz w:val="19"/>
        </w:rPr>
      </w:r>
    </w:p>
    <w:p>
      <w:pPr>
        <w:pStyle w:val="997"/>
        <w:pBdr/>
        <w:spacing w:before="69"/>
        <w:ind/>
        <w:rPr>
          <w:i/>
        </w:rPr>
      </w:pPr>
      <w:r>
        <w:rPr>
          <w:i/>
        </w:rPr>
      </w:r>
      <w:r>
        <w:rPr>
          <w:i/>
        </w:rPr>
      </w:r>
    </w:p>
    <w:p>
      <w:pPr>
        <w:pStyle w:val="998"/>
        <w:numPr>
          <w:ilvl w:val="1"/>
          <w:numId w:val="1"/>
        </w:numPr>
        <w:pBdr/>
        <w:tabs>
          <w:tab w:val="left" w:leader="none" w:pos="497"/>
        </w:tabs>
        <w:spacing/>
        <w:ind w:hanging="214" w:left="497"/>
        <w:rPr/>
      </w:pPr>
      <w:r>
        <w:rPr>
          <w:i/>
          <w:color w:val="1f4c78"/>
          <w:spacing w:val="-2"/>
        </w:rPr>
        <w:t xml:space="preserve">Anagrafica</w:t>
      </w:r>
      <w:r>
        <w:rPr>
          <w:i/>
          <w:color w:val="1f4c78"/>
          <w:spacing w:val="-7"/>
        </w:rPr>
        <w:t xml:space="preserve"> </w:t>
      </w:r>
      <w:r>
        <w:rPr>
          <w:i/>
          <w:color w:val="1f4c78"/>
          <w:spacing w:val="-2"/>
        </w:rPr>
        <w:t xml:space="preserve">della</w:t>
      </w:r>
      <w:r>
        <w:rPr>
          <w:i/>
          <w:color w:val="1f4c78"/>
          <w:spacing w:val="-7"/>
        </w:rPr>
        <w:t xml:space="preserve"> </w:t>
      </w:r>
      <w:r>
        <w:rPr>
          <w:i/>
          <w:color w:val="1f4c78"/>
          <w:spacing w:val="-2"/>
        </w:rPr>
        <w:t xml:space="preserve">singola</w:t>
      </w:r>
      <w:r>
        <w:rPr>
          <w:i/>
          <w:color w:val="1f4c78"/>
          <w:spacing w:val="-7"/>
        </w:rPr>
        <w:t xml:space="preserve"> </w:t>
      </w:r>
      <w:r>
        <w:rPr>
          <w:i/>
          <w:color w:val="1f4c78"/>
          <w:spacing w:val="-2"/>
        </w:rPr>
        <w:t xml:space="preserve">attività/progetto</w:t>
      </w:r>
      <w:r>
        <w:rPr>
          <w:color w:val="1f4d79"/>
          <w:spacing w:val="-2"/>
          <w:vertAlign w:val="superscript"/>
        </w:rPr>
        <w:t xml:space="preserve">1</w:t>
      </w:r>
      <w:r/>
    </w:p>
    <w:p>
      <w:pPr>
        <w:pStyle w:val="997"/>
        <w:pBdr/>
        <w:spacing/>
        <w:ind/>
        <w:rPr/>
      </w:pPr>
      <w:r/>
      <w:r/>
    </w:p>
    <w:p>
      <w:pPr>
        <w:pStyle w:val="998"/>
        <w:numPr>
          <w:ilvl w:val="2"/>
          <w:numId w:val="19"/>
        </w:numPr>
        <w:pBdr/>
        <w:tabs>
          <w:tab w:val="left" w:leader="none" w:pos="844"/>
        </w:tabs>
        <w:spacing/>
        <w:ind w:hanging="561" w:left="844"/>
        <w:rPr>
          <w:i/>
        </w:rPr>
      </w:pPr>
      <w:r>
        <w:rPr>
          <w:i/>
          <w:color w:val="1f4d79"/>
        </w:rPr>
        <w:t xml:space="preserve">Informazioni</w:t>
      </w:r>
      <w:r>
        <w:rPr>
          <w:i/>
          <w:color w:val="1f4d79"/>
          <w:spacing w:val="-10"/>
        </w:rPr>
        <w:t xml:space="preserve"> </w:t>
      </w:r>
      <w:r>
        <w:rPr>
          <w:i/>
          <w:color w:val="1f4d79"/>
          <w:spacing w:val="-2"/>
        </w:rPr>
        <w:t xml:space="preserve">generali</w:t>
      </w:r>
      <w:r>
        <w:rPr>
          <w:i/>
        </w:rPr>
      </w:r>
    </w:p>
    <w:tbl>
      <w:tblPr>
        <w:tblW w:w="0" w:type="auto"/>
        <w:tblInd w:w="14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1502"/>
        <w:gridCol w:w="8144"/>
      </w:tblGrid>
      <w:tr>
        <w:trPr>
          <w:trHeight w:val="509"/>
        </w:trPr>
        <w:tc>
          <w:tcPr>
            <w:tcBorders/>
            <w:tcW w:w="1502" w:type="dxa"/>
            <w:textDirection w:val="lrTb"/>
            <w:noWrap w:val="false"/>
          </w:tcPr>
          <w:p>
            <w:pPr>
              <w:pStyle w:val="999"/>
              <w:pBdr/>
              <w:spacing/>
              <w:ind w:left="149"/>
              <w:rPr/>
            </w:pPr>
            <w:r>
              <w:rPr>
                <w:spacing w:val="-2"/>
              </w:rPr>
              <w:t xml:space="preserve">Titolo/oggetto</w:t>
            </w:r>
            <w:r/>
          </w:p>
        </w:tc>
        <w:tc>
          <w:tcPr>
            <w:tcBorders/>
            <w:tcW w:w="8144" w:type="dxa"/>
            <w:textDirection w:val="lrTb"/>
            <w:noWrap w:val="false"/>
          </w:tcPr>
          <w:p>
            <w:pPr>
              <w:pStyle w:val="999"/>
              <w:pBdr/>
              <w:spacing/>
              <w:ind/>
              <w:rPr>
                <w:rFonts w:ascii="Times New Roman"/>
                <w:sz w:val="20"/>
              </w:rPr>
            </w:pPr>
            <w:r>
              <w:rPr>
                <w:rFonts w:ascii="Times New Roman"/>
                <w:sz w:val="20"/>
              </w:rPr>
            </w:r>
            <w:r>
              <w:rPr>
                <w:rFonts w:ascii="Times New Roman"/>
                <w:sz w:val="20"/>
              </w:rPr>
            </w:r>
          </w:p>
        </w:tc>
      </w:tr>
      <w:tr>
        <w:trPr>
          <w:trHeight w:val="1074"/>
        </w:trPr>
        <w:tc>
          <w:tcPr>
            <w:tcBorders/>
            <w:tcW w:w="1502" w:type="dxa"/>
            <w:textDirection w:val="lrTb"/>
            <w:noWrap w:val="false"/>
          </w:tcPr>
          <w:p>
            <w:pPr>
              <w:pStyle w:val="999"/>
              <w:pBdr/>
              <w:spacing/>
              <w:ind w:left="149"/>
              <w:rPr/>
            </w:pPr>
            <w:r>
              <w:t xml:space="preserve">Codice</w:t>
            </w:r>
            <w:r>
              <w:rPr>
                <w:spacing w:val="-5"/>
              </w:rPr>
              <w:t xml:space="preserve"> CIG</w:t>
            </w:r>
            <w:r/>
          </w:p>
        </w:tc>
        <w:tc>
          <w:tcPr>
            <w:tcBorders/>
            <w:tcW w:w="8144" w:type="dxa"/>
            <w:textDirection w:val="lrTb"/>
            <w:noWrap w:val="false"/>
          </w:tcPr>
          <w:p>
            <w:pPr>
              <w:pStyle w:val="999"/>
              <w:pBdr/>
              <w:spacing w:line="270" w:lineRule="atLeast"/>
              <w:ind w:right="25" w:left="149"/>
              <w:rPr>
                <w:i/>
              </w:rPr>
            </w:pPr>
            <w:r>
              <w:rPr>
                <w:i/>
                <w:spacing w:val="-6"/>
              </w:rPr>
              <w:t xml:space="preserve">Da </w:t>
            </w:r>
            <w:r>
              <w:rPr>
                <w:i/>
                <w:spacing w:val="-2"/>
              </w:rPr>
              <w:t xml:space="preserve">compilare </w:t>
            </w:r>
            <w:r>
              <w:rPr>
                <w:i/>
              </w:rPr>
              <w:t xml:space="preserve">dopo la </w:t>
            </w:r>
            <w:r>
              <w:rPr>
                <w:i/>
                <w:spacing w:val="-4"/>
              </w:rPr>
              <w:t xml:space="preserve">gara</w:t>
            </w:r>
            <w:r>
              <w:rPr>
                <w:i/>
              </w:rPr>
            </w:r>
          </w:p>
        </w:tc>
      </w:tr>
      <w:tr>
        <w:trPr>
          <w:trHeight w:val="294"/>
        </w:trPr>
        <w:tc>
          <w:tcPr>
            <w:tcBorders/>
            <w:tcW w:w="1502" w:type="dxa"/>
            <w:vMerge w:val="restart"/>
            <w:textDirection w:val="lrTb"/>
            <w:noWrap w:val="false"/>
          </w:tcPr>
          <w:p>
            <w:pPr>
              <w:pStyle w:val="999"/>
              <w:pBdr/>
              <w:spacing w:before="57"/>
              <w:ind/>
              <w:rPr>
                <w:i/>
              </w:rPr>
            </w:pPr>
            <w:r>
              <w:rPr>
                <w:i/>
              </w:rPr>
            </w:r>
            <w:r>
              <w:rPr>
                <w:i/>
              </w:rPr>
            </w:r>
          </w:p>
          <w:p>
            <w:pPr>
              <w:pStyle w:val="999"/>
              <w:pBdr/>
              <w:spacing/>
              <w:ind w:left="149"/>
              <w:rPr/>
            </w:pPr>
            <w:r>
              <w:rPr>
                <w:spacing w:val="-2"/>
              </w:rPr>
              <w:t xml:space="preserve">Localizzazione</w:t>
            </w:r>
            <w:r/>
          </w:p>
        </w:tc>
        <w:tc>
          <w:tcPr>
            <w:tcBorders/>
            <w:tcW w:w="8144" w:type="dxa"/>
            <w:textDirection w:val="lrTb"/>
            <w:noWrap w:val="false"/>
          </w:tcPr>
          <w:p>
            <w:pPr>
              <w:pStyle w:val="999"/>
              <w:pBdr/>
              <w:spacing w:line="263" w:lineRule="exact"/>
              <w:ind w:right="39"/>
              <w:jc w:val="center"/>
              <w:rPr/>
            </w:pPr>
            <w:r>
              <w:rPr>
                <w:spacing w:val="-2"/>
              </w:rPr>
              <w:t xml:space="preserve">Regione</w:t>
            </w:r>
            <w:r/>
          </w:p>
        </w:tc>
      </w:tr>
      <w:tr>
        <w:trPr>
          <w:trHeight w:val="300"/>
        </w:trPr>
        <w:tc>
          <w:tcPr>
            <w:tcBorders>
              <w:top w:val="none" w:color="000000" w:sz="4" w:space="0"/>
            </w:tcBorders>
            <w:tcW w:w="1502" w:type="dxa"/>
            <w:vMerge w:val="continue"/>
            <w:textDirection w:val="lrTb"/>
            <w:noWrap w:val="false"/>
          </w:tcPr>
          <w:p>
            <w:pPr>
              <w:pBdr/>
              <w:spacing/>
              <w:ind/>
              <w:rPr>
                <w:sz w:val="2"/>
                <w:szCs w:val="2"/>
              </w:rPr>
            </w:pPr>
            <w:r>
              <w:rPr>
                <w:sz w:val="2"/>
                <w:szCs w:val="2"/>
              </w:rPr>
            </w:r>
            <w:r>
              <w:rPr>
                <w:sz w:val="2"/>
                <w:szCs w:val="2"/>
              </w:rPr>
            </w:r>
          </w:p>
        </w:tc>
        <w:tc>
          <w:tcPr>
            <w:tcBorders/>
            <w:tcW w:w="8144" w:type="dxa"/>
            <w:textDirection w:val="lrTb"/>
            <w:noWrap w:val="false"/>
          </w:tcPr>
          <w:p>
            <w:pPr>
              <w:pStyle w:val="999"/>
              <w:pBdr/>
              <w:spacing/>
              <w:ind w:right="72" w:left="127"/>
              <w:jc w:val="center"/>
              <w:rPr/>
            </w:pPr>
            <w:r>
              <w:rPr>
                <w:spacing w:val="-2"/>
              </w:rPr>
              <w:t xml:space="preserve">Provincia</w:t>
            </w:r>
            <w:r/>
          </w:p>
        </w:tc>
      </w:tr>
      <w:tr>
        <w:trPr>
          <w:trHeight w:val="300"/>
        </w:trPr>
        <w:tc>
          <w:tcPr>
            <w:tcBorders>
              <w:top w:val="none" w:color="000000" w:sz="4" w:space="0"/>
            </w:tcBorders>
            <w:tcW w:w="1502" w:type="dxa"/>
            <w:vMerge w:val="continue"/>
            <w:textDirection w:val="lrTb"/>
            <w:noWrap w:val="false"/>
          </w:tcPr>
          <w:p>
            <w:pPr>
              <w:pBdr/>
              <w:spacing/>
              <w:ind/>
              <w:rPr>
                <w:sz w:val="2"/>
                <w:szCs w:val="2"/>
              </w:rPr>
            </w:pPr>
            <w:r>
              <w:rPr>
                <w:sz w:val="2"/>
                <w:szCs w:val="2"/>
              </w:rPr>
            </w:r>
            <w:r>
              <w:rPr>
                <w:sz w:val="2"/>
                <w:szCs w:val="2"/>
              </w:rPr>
            </w:r>
          </w:p>
        </w:tc>
        <w:tc>
          <w:tcPr>
            <w:tcBorders/>
            <w:tcW w:w="8144" w:type="dxa"/>
            <w:textDirection w:val="lrTb"/>
            <w:noWrap w:val="false"/>
          </w:tcPr>
          <w:p>
            <w:pPr>
              <w:pStyle w:val="999"/>
              <w:pBdr/>
              <w:spacing/>
              <w:ind w:right="72"/>
              <w:jc w:val="center"/>
              <w:rPr/>
            </w:pPr>
            <w:r>
              <w:rPr>
                <w:spacing w:val="-2"/>
              </w:rPr>
              <w:t xml:space="preserve">Comuni</w:t>
            </w:r>
            <w:r/>
          </w:p>
        </w:tc>
      </w:tr>
    </w:tbl>
    <w:p>
      <w:pPr>
        <w:pStyle w:val="997"/>
        <w:pBdr/>
        <w:spacing w:before="1"/>
        <w:ind/>
        <w:rPr>
          <w:i/>
        </w:rPr>
      </w:pPr>
      <w:r>
        <w:rPr>
          <w:i/>
        </w:rPr>
      </w:r>
      <w:r>
        <w:rPr>
          <w:i/>
        </w:rPr>
      </w:r>
    </w:p>
    <w:p>
      <w:pPr>
        <w:pStyle w:val="998"/>
        <w:numPr>
          <w:ilvl w:val="2"/>
          <w:numId w:val="19"/>
        </w:numPr>
        <w:pBdr/>
        <w:tabs>
          <w:tab w:val="left" w:leader="none" w:pos="490"/>
          <w:tab w:val="left" w:leader="none" w:pos="844"/>
        </w:tabs>
        <w:spacing w:before="1" w:line="266" w:lineRule="auto"/>
        <w:ind w:right="6314" w:hanging="207" w:left="490"/>
        <w:rPr/>
      </w:pPr>
      <w:r>
        <mc:AlternateContent>
          <mc:Choice Requires="wpg">
            <w:drawing>
              <wp:anchor xmlns:wp="http://schemas.openxmlformats.org/drawingml/2006/wordprocessingDrawing" xmlns:wp14="http://schemas.microsoft.com/office/word/2010/wordprocessingDrawing" distT="0" distB="0" distL="0" distR="0" simplePos="0" relativeHeight="251665408" behindDoc="0" locked="0" layoutInCell="1" allowOverlap="1">
                <wp:simplePos x="0" y="0"/>
                <wp:positionH relativeFrom="page">
                  <wp:posOffset>672464</wp:posOffset>
                </wp:positionH>
                <wp:positionV relativeFrom="paragraph">
                  <wp:posOffset>166355</wp:posOffset>
                </wp:positionV>
                <wp:extent cx="217170" cy="960119"/>
                <wp:effectExtent l="0" t="0" r="0" b="0"/>
                <wp:wrapNone/>
                <wp:docPr id="6" name="Textbox 11"/>
                <wp:cNvGraphicFramePr/>
                <a:graphic xmlns:a="http://schemas.openxmlformats.org/drawingml/2006/main">
                  <a:graphicData uri="http://schemas.microsoft.com/office/word/2010/wordprocessingShape">
                    <wps:wsp>
                      <wps:cNvPr id="0" name=""/>
                      <wps:cNvSpPr txBox="1"/>
                      <wps:spPr bwMode="auto">
                        <a:xfrm>
                          <a:off x="0" y="0"/>
                          <a:ext cx="217170" cy="960119"/>
                        </a:xfrm>
                        <a:prstGeom prst="rect">
                          <a:avLst/>
                        </a:prstGeom>
                      </wps:spPr>
                      <wps:txbx>
                        <w:txbxContent>
                          <w:tbl>
                            <w:tblPr>
                              <w:tblW w:w="0" w:type="auto"/>
                              <w:tblInd w:w="6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207"/>
                            </w:tblGrid>
                            <w:tr>
                              <w:trPr>
                                <w:trHeight w:val="300"/>
                              </w:trPr>
                              <w:tc>
                                <w:tcPr>
                                  <w:tcBorders/>
                                  <w:tcW w:w="207" w:type="dxa"/>
                                  <w:textDirection w:val="lrTb"/>
                                  <w:noWrap w:val="false"/>
                                </w:tcPr>
                                <w:p>
                                  <w:pPr>
                                    <w:pStyle w:val="999"/>
                                    <w:pBdr/>
                                    <w:spacing/>
                                    <w:ind/>
                                    <w:rPr>
                                      <w:rFonts w:ascii="Times New Roman"/>
                                      <w:sz w:val="20"/>
                                    </w:rPr>
                                  </w:pPr>
                                  <w:r>
                                    <w:rPr>
                                      <w:rFonts w:ascii="Times New Roman"/>
                                      <w:sz w:val="20"/>
                                    </w:rPr>
                                  </w:r>
                                  <w:r>
                                    <w:rPr>
                                      <w:rFonts w:ascii="Times New Roman"/>
                                      <w:sz w:val="20"/>
                                    </w:rPr>
                                  </w:r>
                                </w:p>
                              </w:tc>
                            </w:tr>
                            <w:tr>
                              <w:trPr>
                                <w:trHeight w:val="537"/>
                              </w:trPr>
                              <w:tc>
                                <w:tcPr>
                                  <w:tcBorders/>
                                  <w:tcW w:w="207" w:type="dxa"/>
                                  <w:textDirection w:val="lrTb"/>
                                  <w:noWrap w:val="false"/>
                                </w:tcPr>
                                <w:p>
                                  <w:pPr>
                                    <w:pStyle w:val="999"/>
                                    <w:pBdr/>
                                    <w:spacing/>
                                    <w:ind/>
                                    <w:rPr>
                                      <w:rFonts w:ascii="Times New Roman"/>
                                      <w:sz w:val="20"/>
                                    </w:rPr>
                                  </w:pPr>
                                  <w:r>
                                    <w:rPr>
                                      <w:rFonts w:ascii="Times New Roman"/>
                                      <w:sz w:val="20"/>
                                    </w:rPr>
                                  </w:r>
                                  <w:r>
                                    <w:rPr>
                                      <w:rFonts w:ascii="Times New Roman"/>
                                      <w:sz w:val="20"/>
                                    </w:rPr>
                                  </w:r>
                                </w:p>
                              </w:tc>
                            </w:tr>
                            <w:tr>
                              <w:trPr>
                                <w:trHeight w:val="300"/>
                              </w:trPr>
                              <w:tc>
                                <w:tcPr>
                                  <w:tcBorders/>
                                  <w:tcW w:w="207" w:type="dxa"/>
                                  <w:textDirection w:val="lrTb"/>
                                  <w:noWrap w:val="false"/>
                                </w:tcPr>
                                <w:p>
                                  <w:pPr>
                                    <w:pStyle w:val="999"/>
                                    <w:pBdr/>
                                    <w:spacing/>
                                    <w:ind/>
                                    <w:rPr>
                                      <w:rFonts w:ascii="Times New Roman"/>
                                      <w:sz w:val="20"/>
                                    </w:rPr>
                                  </w:pPr>
                                  <w:r>
                                    <w:rPr>
                                      <w:rFonts w:ascii="Times New Roman"/>
                                      <w:sz w:val="20"/>
                                    </w:rPr>
                                  </w:r>
                                  <w:r>
                                    <w:rPr>
                                      <w:rFonts w:ascii="Times New Roman"/>
                                      <w:sz w:val="20"/>
                                    </w:rPr>
                                  </w:r>
                                </w:p>
                              </w:tc>
                            </w:tr>
                            <w:tr>
                              <w:trPr>
                                <w:trHeight w:val="300"/>
                              </w:trPr>
                              <w:tc>
                                <w:tcPr>
                                  <w:tcBorders/>
                                  <w:tcW w:w="207" w:type="dxa"/>
                                  <w:textDirection w:val="lrTb"/>
                                  <w:noWrap w:val="false"/>
                                </w:tcPr>
                                <w:p>
                                  <w:pPr>
                                    <w:pStyle w:val="999"/>
                                    <w:pBdr/>
                                    <w:spacing/>
                                    <w:ind/>
                                    <w:rPr>
                                      <w:rFonts w:ascii="Times New Roman"/>
                                      <w:sz w:val="20"/>
                                    </w:rPr>
                                  </w:pPr>
                                  <w:r>
                                    <w:rPr>
                                      <w:rFonts w:ascii="Times New Roman"/>
                                      <w:sz w:val="20"/>
                                    </w:rPr>
                                  </w:r>
                                  <w:r>
                                    <w:rPr>
                                      <w:rFonts w:ascii="Times New Roman"/>
                                      <w:sz w:val="20"/>
                                    </w:rPr>
                                  </w:r>
                                </w:p>
                              </w:tc>
                            </w:tr>
                          </w:tbl>
                          <w:p>
                            <w:pPr>
                              <w:pStyle w:val="997"/>
                              <w:pBdr/>
                              <w:spacing/>
                              <w:ind/>
                              <w:rPr/>
                            </w:pPr>
                            <w:r/>
                            <w:r/>
                          </w:p>
                        </w:txbxContent>
                      </wps:txbx>
                      <wps:bodyPr wrap="square" lIns="0" tIns="0" rIns="0" bIns="0" rtlCol="0"/>
                    </wps:wsp>
                  </a:graphicData>
                </a:graphic>
              </wp:anchor>
            </w:drawing>
          </mc:Choice>
          <mc:Fallback>
            <w:pict>
              <v:shape id="shape 5" o:spid="_x0000_s5" o:spt="202" type="#_x0000_t202" style="position:absolute;z-index:251665408;o:allowoverlap:true;o:allowincell:true;mso-position-horizontal-relative:page;margin-left:52.95pt;mso-position-horizontal:absolute;mso-position-vertical-relative:text;margin-top:13.10pt;mso-position-vertical:absolute;width:17.10pt;height:75.60pt;mso-wrap-distance-left:0.00pt;mso-wrap-distance-top:0.00pt;mso-wrap-distance-right:0.00pt;mso-wrap-distance-bottom:0.00pt;visibility:visible;" filled="f">
                <v:textbox inset="0,0,0,0">
                  <w:txbxContent>
                    <w:tbl>
                      <w:tblPr>
                        <w:tblW w:w="0" w:type="auto"/>
                        <w:tblInd w:w="6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207"/>
                      </w:tblGrid>
                      <w:tr>
                        <w:trPr>
                          <w:trHeight w:val="300"/>
                        </w:trPr>
                        <w:tc>
                          <w:tcPr>
                            <w:tcBorders/>
                            <w:tcW w:w="207" w:type="dxa"/>
                            <w:textDirection w:val="lrTb"/>
                            <w:noWrap w:val="false"/>
                          </w:tcPr>
                          <w:p>
                            <w:pPr>
                              <w:pStyle w:val="999"/>
                              <w:pBdr/>
                              <w:spacing/>
                              <w:ind/>
                              <w:rPr>
                                <w:rFonts w:ascii="Times New Roman"/>
                                <w:sz w:val="20"/>
                              </w:rPr>
                            </w:pPr>
                            <w:r>
                              <w:rPr>
                                <w:rFonts w:ascii="Times New Roman"/>
                                <w:sz w:val="20"/>
                              </w:rPr>
                            </w:r>
                            <w:r>
                              <w:rPr>
                                <w:rFonts w:ascii="Times New Roman"/>
                                <w:sz w:val="20"/>
                              </w:rPr>
                            </w:r>
                          </w:p>
                        </w:tc>
                      </w:tr>
                      <w:tr>
                        <w:trPr>
                          <w:trHeight w:val="537"/>
                        </w:trPr>
                        <w:tc>
                          <w:tcPr>
                            <w:tcBorders/>
                            <w:tcW w:w="207" w:type="dxa"/>
                            <w:textDirection w:val="lrTb"/>
                            <w:noWrap w:val="false"/>
                          </w:tcPr>
                          <w:p>
                            <w:pPr>
                              <w:pStyle w:val="999"/>
                              <w:pBdr/>
                              <w:spacing/>
                              <w:ind/>
                              <w:rPr>
                                <w:rFonts w:ascii="Times New Roman"/>
                                <w:sz w:val="20"/>
                              </w:rPr>
                            </w:pPr>
                            <w:r>
                              <w:rPr>
                                <w:rFonts w:ascii="Times New Roman"/>
                                <w:sz w:val="20"/>
                              </w:rPr>
                            </w:r>
                            <w:r>
                              <w:rPr>
                                <w:rFonts w:ascii="Times New Roman"/>
                                <w:sz w:val="20"/>
                              </w:rPr>
                            </w:r>
                          </w:p>
                        </w:tc>
                      </w:tr>
                      <w:tr>
                        <w:trPr>
                          <w:trHeight w:val="300"/>
                        </w:trPr>
                        <w:tc>
                          <w:tcPr>
                            <w:tcBorders/>
                            <w:tcW w:w="207" w:type="dxa"/>
                            <w:textDirection w:val="lrTb"/>
                            <w:noWrap w:val="false"/>
                          </w:tcPr>
                          <w:p>
                            <w:pPr>
                              <w:pStyle w:val="999"/>
                              <w:pBdr/>
                              <w:spacing/>
                              <w:ind/>
                              <w:rPr>
                                <w:rFonts w:ascii="Times New Roman"/>
                                <w:sz w:val="20"/>
                              </w:rPr>
                            </w:pPr>
                            <w:r>
                              <w:rPr>
                                <w:rFonts w:ascii="Times New Roman"/>
                                <w:sz w:val="20"/>
                              </w:rPr>
                            </w:r>
                            <w:r>
                              <w:rPr>
                                <w:rFonts w:ascii="Times New Roman"/>
                                <w:sz w:val="20"/>
                              </w:rPr>
                            </w:r>
                          </w:p>
                        </w:tc>
                      </w:tr>
                      <w:tr>
                        <w:trPr>
                          <w:trHeight w:val="300"/>
                        </w:trPr>
                        <w:tc>
                          <w:tcPr>
                            <w:tcBorders/>
                            <w:tcW w:w="207" w:type="dxa"/>
                            <w:textDirection w:val="lrTb"/>
                            <w:noWrap w:val="false"/>
                          </w:tcPr>
                          <w:p>
                            <w:pPr>
                              <w:pStyle w:val="999"/>
                              <w:pBdr/>
                              <w:spacing/>
                              <w:ind/>
                              <w:rPr>
                                <w:rFonts w:ascii="Times New Roman"/>
                                <w:sz w:val="20"/>
                              </w:rPr>
                            </w:pPr>
                            <w:r>
                              <w:rPr>
                                <w:rFonts w:ascii="Times New Roman"/>
                                <w:sz w:val="20"/>
                              </w:rPr>
                            </w:r>
                            <w:r>
                              <w:rPr>
                                <w:rFonts w:ascii="Times New Roman"/>
                                <w:sz w:val="20"/>
                              </w:rPr>
                            </w:r>
                          </w:p>
                        </w:tc>
                      </w:tr>
                    </w:tbl>
                    <w:p>
                      <w:pPr>
                        <w:pStyle w:val="997"/>
                        <w:pBdr/>
                        <w:spacing/>
                        <w:ind/>
                        <w:rPr/>
                      </w:pPr>
                      <w:r/>
                      <w:r/>
                    </w:p>
                  </w:txbxContent>
                </v:textbox>
              </v:shape>
            </w:pict>
          </mc:Fallback>
        </mc:AlternateContent>
      </w:r>
      <w:r>
        <w:rPr>
          <w:i/>
          <w:color w:val="1f4d79"/>
        </w:rPr>
        <w:t xml:space="preserve">Tipologia</w:t>
      </w:r>
      <w:r>
        <w:rPr>
          <w:i/>
          <w:color w:val="1f4d79"/>
          <w:spacing w:val="-13"/>
        </w:rPr>
        <w:t xml:space="preserve"> </w:t>
      </w:r>
      <w:r>
        <w:rPr>
          <w:i/>
          <w:color w:val="1f4d79"/>
        </w:rPr>
        <w:t xml:space="preserve">dell’attività/progetto </w:t>
      </w:r>
      <w:r>
        <w:t xml:space="preserve">Nuova OOPP </w:t>
      </w:r>
      <w:r>
        <w:rPr>
          <w:spacing w:val="-2"/>
        </w:rPr>
        <w:t xml:space="preserve">Ampliamento/completament</w:t>
      </w:r>
      <w:r/>
    </w:p>
    <w:p>
      <w:pPr>
        <w:pStyle w:val="997"/>
        <w:pBdr/>
        <w:spacing w:line="241" w:lineRule="exact"/>
        <w:ind w:left="490"/>
        <w:rPr/>
      </w:pPr>
      <w:r>
        <w:t xml:space="preserve">o </w:t>
      </w:r>
      <w:r>
        <w:rPr>
          <w:spacing w:val="-4"/>
        </w:rPr>
        <w:t xml:space="preserve">OOPP</w:t>
      </w:r>
      <w:r/>
    </w:p>
    <w:p>
      <w:pPr>
        <w:pStyle w:val="997"/>
        <w:pBdr/>
        <w:spacing w:before="15" w:line="280" w:lineRule="auto"/>
        <w:ind w:right="7687" w:left="490"/>
        <w:rPr/>
      </w:pPr>
      <w:r>
        <w:t xml:space="preserve">Acquisizione</w:t>
      </w:r>
      <w:r>
        <w:rPr>
          <w:spacing w:val="-13"/>
        </w:rPr>
        <w:t xml:space="preserve"> </w:t>
      </w:r>
      <w:r>
        <w:t xml:space="preserve">Servizi Acquisto forniture</w:t>
      </w:r>
      <w:r/>
    </w:p>
    <w:p>
      <w:pPr>
        <w:pStyle w:val="997"/>
        <w:pBdr/>
        <w:spacing w:before="1"/>
        <w:ind/>
        <w:rPr/>
      </w:pPr>
      <w:r/>
      <w:r/>
    </w:p>
    <w:p>
      <w:pPr>
        <w:pStyle w:val="997"/>
        <w:pBdr/>
        <w:spacing w:before="1"/>
        <w:ind/>
        <w:rPr/>
      </w:pPr>
      <w:r/>
      <w:r/>
    </w:p>
    <w:p>
      <w:pPr>
        <w:pStyle w:val="997"/>
        <w:pBdr/>
        <w:spacing w:before="1"/>
        <w:ind/>
        <w:rPr/>
      </w:pPr>
      <w:r/>
      <w:r/>
    </w:p>
    <w:p>
      <w:pPr>
        <w:pStyle w:val="997"/>
        <w:pBdr/>
        <w:spacing w:before="1"/>
        <w:ind/>
        <w:rPr/>
      </w:pPr>
      <w:r/>
      <w:r/>
    </w:p>
    <w:p>
      <w:pPr>
        <w:pStyle w:val="997"/>
        <w:pBdr/>
        <w:spacing w:before="1"/>
        <w:ind/>
        <w:rPr/>
      </w:pPr>
      <w:r/>
      <w:r/>
    </w:p>
    <w:p>
      <w:pPr>
        <w:pStyle w:val="998"/>
        <w:numPr>
          <w:ilvl w:val="2"/>
          <w:numId w:val="19"/>
        </w:numPr>
        <w:pBdr/>
        <w:tabs>
          <w:tab w:val="left" w:leader="none" w:pos="844"/>
        </w:tabs>
        <w:spacing/>
        <w:ind w:hanging="561" w:left="844"/>
        <w:rPr>
          <w:i/>
        </w:rPr>
      </w:pPr>
      <w:r>
        <w:rPr>
          <w:i/>
          <w:color w:val="1f4d79"/>
        </w:rPr>
        <w:t xml:space="preserve">Descrizione</w:t>
      </w:r>
      <w:r>
        <w:rPr>
          <w:i/>
          <w:color w:val="1f4d79"/>
          <w:spacing w:val="-8"/>
        </w:rPr>
        <w:t xml:space="preserve"> </w:t>
      </w:r>
      <w:r>
        <w:rPr>
          <w:i/>
          <w:color w:val="1f4d79"/>
        </w:rPr>
        <w:t xml:space="preserve">sintetica</w:t>
      </w:r>
      <w:r>
        <w:rPr>
          <w:i/>
          <w:color w:val="1f4d79"/>
          <w:spacing w:val="-8"/>
        </w:rPr>
        <w:t xml:space="preserve"> </w:t>
      </w:r>
      <w:r>
        <w:rPr>
          <w:i/>
          <w:color w:val="1f4d79"/>
          <w:spacing w:val="-2"/>
        </w:rPr>
        <w:t xml:space="preserve">dell’attività/progetto</w:t>
      </w:r>
      <w:r>
        <w:rPr>
          <w:i/>
        </w:rPr>
      </w:r>
    </w:p>
    <w:p>
      <w:pPr>
        <w:pBdr/>
        <w:spacing/>
        <w:ind w:left="132"/>
        <w:rPr>
          <w:sz w:val="20"/>
        </w:rPr>
      </w:pPr>
      <w:r>
        <w:rPr>
          <w:sz w:val="20"/>
        </w:rPr>
        <mc:AlternateContent>
          <mc:Choice Requires="wpg">
            <w:drawing>
              <wp:inline xmlns:wp="http://schemas.openxmlformats.org/drawingml/2006/wordprocessingDrawing" distT="0" distB="0" distL="0" distR="0">
                <wp:extent cx="6170930" cy="1435735"/>
                <wp:effectExtent l="9525" t="0" r="1270" b="2540"/>
                <wp:docPr id="7" name="Group 12"/>
                <wp:cNvGraphicFramePr/>
                <a:graphic xmlns:a="http://schemas.openxmlformats.org/drawingml/2006/main">
                  <a:graphicData uri="http://schemas.microsoft.com/office/word/2010/wordprocessingGroup">
                    <wpg:wgp>
                      <wpg:cNvGrpSpPr/>
                      <wpg:grpSpPr bwMode="auto">
                        <a:xfrm>
                          <a:off x="0" y="0"/>
                          <a:ext cx="6170930" cy="1435735"/>
                          <a:chOff x="0" y="0"/>
                          <a:chExt cx="6170930" cy="1435735"/>
                        </a:xfrm>
                      </wpg:grpSpPr>
                      <wps:wsp>
                        <wps:cNvPr id="0" name=""/>
                        <wps:cNvSpPr/>
                        <wps:spPr bwMode="auto">
                          <a:xfrm>
                            <a:off x="0" y="3174"/>
                            <a:ext cx="6170930" cy="1429385"/>
                          </a:xfrm>
                          <a:custGeom>
                            <a:avLst/>
                            <a:gdLst/>
                            <a:ahLst/>
                            <a:cxnLst/>
                            <a:rect l="l" t="t" r="r" b="b"/>
                            <a:pathLst>
                              <a:path w="6170930" h="1429385" fill="norm" stroke="1" extrusionOk="0">
                                <a:moveTo>
                                  <a:pt x="3174" y="0"/>
                                </a:moveTo>
                                <a:lnTo>
                                  <a:pt x="3174" y="1429385"/>
                                </a:lnTo>
                              </a:path>
                              <a:path w="6170930" h="1429385" fill="norm" stroke="1" extrusionOk="0">
                                <a:moveTo>
                                  <a:pt x="6167755" y="0"/>
                                </a:moveTo>
                                <a:lnTo>
                                  <a:pt x="6167755" y="1429385"/>
                                </a:lnTo>
                              </a:path>
                              <a:path w="6170930" h="1429385" fill="norm" stroke="1" extrusionOk="0">
                                <a:moveTo>
                                  <a:pt x="6350" y="0"/>
                                </a:moveTo>
                                <a:lnTo>
                                  <a:pt x="6164579" y="0"/>
                                </a:lnTo>
                              </a:path>
                              <a:path w="6170930" h="1429385" fill="norm" stroke="1" extrusionOk="0">
                                <a:moveTo>
                                  <a:pt x="0" y="1429385"/>
                                </a:moveTo>
                                <a:lnTo>
                                  <a:pt x="6170930" y="1429385"/>
                                </a:lnTo>
                              </a:path>
                            </a:pathLst>
                          </a:custGeom>
                          <a:ln w="6349">
                            <a:solidFill>
                              <a:srgbClr val="000000"/>
                            </a:solidFill>
                            <a:prstDash val="solid"/>
                          </a:ln>
                        </wps:spPr>
                        <wps:bodyPr rot="0">
                          <a:prstTxWarp prst="textNoShape">
                            <a:avLst/>
                          </a:prstTxWarp>
                          <a:noAutofit/>
                        </wps:bodyPr>
                      </wps:wsp>
                    </wpg:wgp>
                  </a:graphicData>
                </a:graphic>
              </wp:inline>
            </w:drawing>
          </mc:Choice>
          <mc:Fallback>
            <w:pict>
              <v:group id="group 6" o:spid="_x0000_s0000" style="width:485.90pt;height:113.05pt;mso-wrap-distance-left:0.00pt;mso-wrap-distance-top:0.00pt;mso-wrap-distance-right:0.00pt;mso-wrap-distance-bottom:0.00pt;" coordorigin="0,0" coordsize="61709,14357">
                <v:shape id="shape 7" o:spid="_x0000_s7" style="position:absolute;left:0;top:31;width:61709;height:14293;visibility:visible;" path="m51,0l51,100000em99947,0l99947,100000em102,0l99896,0em0,100000l100000,100000e" coordsize="100000,100000" filled="f" strokecolor="#000000" strokeweight="0.50pt">
                  <v:path textboxrect="0,0,100000,100000"/>
                  <v:stroke dashstyle="solid"/>
                </v:shape>
              </v:group>
            </w:pict>
          </mc:Fallback>
        </mc:AlternateContent>
      </w:r>
      <w:r>
        <w:rPr>
          <w:sz w:val="20"/>
        </w:rPr>
      </w:r>
    </w:p>
    <w:p>
      <w:pPr>
        <w:pStyle w:val="997"/>
        <w:pBdr/>
        <w:spacing/>
        <w:ind/>
        <w:rPr>
          <w:i/>
          <w:sz w:val="20"/>
        </w:rPr>
      </w:pPr>
      <w:r>
        <w:rPr>
          <w:i/>
          <w:sz w:val="20"/>
        </w:rPr>
      </w:r>
      <w:r>
        <w:rPr>
          <w:i/>
          <w:sz w:val="20"/>
        </w:rPr>
      </w:r>
    </w:p>
    <w:p>
      <w:pPr>
        <w:pStyle w:val="997"/>
        <w:pBdr/>
        <w:spacing/>
        <w:ind/>
        <w:rPr>
          <w:i/>
          <w:sz w:val="20"/>
        </w:rPr>
      </w:pPr>
      <w:r>
        <w:rPr>
          <w:i/>
          <w:sz w:val="20"/>
        </w:rPr>
      </w:r>
      <w:r>
        <w:rPr>
          <w:i/>
          <w:sz w:val="20"/>
        </w:rPr>
      </w:r>
    </w:p>
    <w:p>
      <w:pPr>
        <w:pStyle w:val="997"/>
        <w:pBdr/>
        <w:spacing/>
        <w:ind/>
        <w:rPr>
          <w:i/>
          <w:sz w:val="20"/>
        </w:rPr>
      </w:pPr>
      <w:r>
        <w:rPr>
          <w:i/>
          <w:sz w:val="20"/>
        </w:rPr>
      </w:r>
      <w:r>
        <w:rPr>
          <w:i/>
          <w:sz w:val="20"/>
        </w:rPr>
      </w:r>
    </w:p>
    <w:p>
      <w:pPr>
        <w:pStyle w:val="997"/>
        <w:pBdr/>
        <w:spacing w:before="117"/>
        <w:ind/>
        <w:rPr>
          <w:i/>
          <w:sz w:val="20"/>
        </w:rPr>
      </w:pPr>
      <w:r>
        <w:rPr>
          <w:i/>
          <w:sz w:val="20"/>
        </w:rPr>
        <mc:AlternateContent>
          <mc:Choice Requires="wpg">
            <w:drawing>
              <wp:anchor xmlns:wp="http://schemas.openxmlformats.org/drawingml/2006/wordprocessingDrawing" xmlns:wp14="http://schemas.microsoft.com/office/word/2010/wordprocessingDrawing" distT="0" distB="0" distL="0" distR="0" simplePos="0" relativeHeight="251674624" behindDoc="1" locked="0" layoutInCell="1" allowOverlap="1">
                <wp:simplePos x="0" y="0"/>
                <wp:positionH relativeFrom="page">
                  <wp:posOffset>702089</wp:posOffset>
                </wp:positionH>
                <wp:positionV relativeFrom="paragraph">
                  <wp:posOffset>245007</wp:posOffset>
                </wp:positionV>
                <wp:extent cx="6156325" cy="341630"/>
                <wp:effectExtent l="0" t="0" r="0" b="0"/>
                <wp:wrapTopAndBottom/>
                <wp:docPr id="8" name="Textbox 14"/>
                <wp:cNvGraphicFramePr/>
                <a:graphic xmlns:a="http://schemas.openxmlformats.org/drawingml/2006/main">
                  <a:graphicData uri="http://schemas.microsoft.com/office/word/2010/wordprocessingShape">
                    <wps:wsp>
                      <wps:cNvPr id="0" name=""/>
                      <wps:cNvSpPr txBox="1"/>
                      <wps:spPr bwMode="auto">
                        <a:xfrm>
                          <a:off x="0" y="0"/>
                          <a:ext cx="6156325" cy="341630"/>
                        </a:xfrm>
                        <a:prstGeom prst="rect">
                          <a:avLst/>
                        </a:prstGeom>
                        <a:solidFill>
                          <a:srgbClr val="F2F2F2"/>
                        </a:solidFill>
                      </wps:spPr>
                      <wps:txbx>
                        <w:txbxContent>
                          <w:p>
                            <w:pPr>
                              <w:pStyle w:val="997"/>
                              <w:pBdr/>
                              <w:spacing/>
                              <w:ind w:right="2978" w:firstLine="1326" w:left="3012"/>
                              <w:rPr>
                                <w:color w:val="000000"/>
                              </w:rPr>
                            </w:pPr>
                            <w:r>
                              <w:rPr>
                                <w:color w:val="1f4c78"/>
                              </w:rPr>
                              <w:t xml:space="preserve">SEZIONE III</w:t>
                            </w:r>
                            <w:r>
                              <w:rPr>
                                <w:color w:val="1f4c78"/>
                                <w:spacing w:val="-2"/>
                              </w:rPr>
                              <w:t xml:space="preserve">AVANZAMENTOTECNICOPROCEDURALE</w:t>
                            </w:r>
                            <w:r>
                              <w:rPr>
                                <w:color w:val="000000"/>
                              </w:rPr>
                            </w:r>
                          </w:p>
                        </w:txbxContent>
                      </wps:txbx>
                      <wps:bodyPr wrap="square" lIns="0" tIns="0" rIns="0" bIns="0" rtlCol="0"/>
                    </wps:wsp>
                  </a:graphicData>
                </a:graphic>
              </wp:anchor>
            </w:drawing>
          </mc:Choice>
          <mc:Fallback>
            <w:pict>
              <v:shape id="shape 8" o:spid="_x0000_s8" o:spt="202" type="#_x0000_t202" style="position:absolute;z-index:-251674624;o:allowoverlap:true;o:allowincell:true;mso-position-horizontal-relative:page;margin-left:55.28pt;mso-position-horizontal:absolute;mso-position-vertical-relative:text;margin-top:19.29pt;mso-position-vertical:absolute;width:484.75pt;height:26.90pt;mso-wrap-distance-left:0.00pt;mso-wrap-distance-top:0.00pt;mso-wrap-distance-right:0.00pt;mso-wrap-distance-bottom:0.00pt;visibility:visible;" fillcolor="#F2F2F2">
                <w10:wrap type="topAndBottom"/>
                <v:textbox inset="0,0,0,0">
                  <w:txbxContent>
                    <w:p>
                      <w:pPr>
                        <w:pStyle w:val="997"/>
                        <w:pBdr/>
                        <w:spacing/>
                        <w:ind w:right="2978" w:firstLine="1326" w:left="3012"/>
                        <w:rPr>
                          <w:color w:val="000000"/>
                        </w:rPr>
                      </w:pPr>
                      <w:r>
                        <w:rPr>
                          <w:color w:val="1f4c78"/>
                        </w:rPr>
                        <w:t xml:space="preserve">SEZIONE III</w:t>
                      </w:r>
                      <w:r>
                        <w:rPr>
                          <w:color w:val="1f4c78"/>
                          <w:spacing w:val="-2"/>
                        </w:rPr>
                        <w:t xml:space="preserve">AVANZAMENTOTECNICOPROCEDURALE</w:t>
                      </w:r>
                      <w:r>
                        <w:rPr>
                          <w:color w:val="000000"/>
                        </w:rPr>
                      </w:r>
                    </w:p>
                  </w:txbxContent>
                </v:textbox>
              </v:shape>
            </w:pict>
          </mc:Fallback>
        </mc:AlternateContent>
      </w:r>
      <w:r>
        <w:rPr>
          <w:i/>
          <w:sz w:val="20"/>
        </w:rPr>
      </w:r>
    </w:p>
    <w:p>
      <w:pPr>
        <w:pStyle w:val="997"/>
        <w:pBdr/>
        <w:spacing/>
        <w:ind/>
        <w:rPr>
          <w:i/>
        </w:rPr>
      </w:pPr>
      <w:r>
        <w:rPr>
          <w:i/>
        </w:rPr>
      </w:r>
      <w:r>
        <w:rPr>
          <w:i/>
        </w:rPr>
      </w:r>
    </w:p>
    <w:p>
      <w:pPr>
        <w:pStyle w:val="998"/>
        <w:numPr>
          <w:ilvl w:val="1"/>
          <w:numId w:val="1"/>
        </w:numPr>
        <w:pBdr/>
        <w:tabs>
          <w:tab w:val="left" w:leader="none" w:pos="498"/>
        </w:tabs>
        <w:spacing/>
        <w:ind w:hanging="214"/>
        <w:rPr>
          <w:i/>
        </w:rPr>
      </w:pPr>
      <w:r>
        <w:rPr>
          <w:i/>
          <w:color w:val="1f4c78"/>
          <w:spacing w:val="-4"/>
        </w:rPr>
        <w:t xml:space="preserve">Cronogramma</w:t>
      </w:r>
      <w:r>
        <w:rPr>
          <w:i/>
          <w:color w:val="1f4c78"/>
          <w:spacing w:val="8"/>
        </w:rPr>
        <w:t xml:space="preserve"> </w:t>
      </w:r>
      <w:r>
        <w:rPr>
          <w:i/>
          <w:color w:val="1f4c78"/>
          <w:spacing w:val="-2"/>
        </w:rPr>
        <w:t xml:space="preserve">dell’Operazione</w:t>
      </w:r>
      <w:r>
        <w:rPr>
          <w:i/>
          <w:color w:val="1f4c78"/>
          <w:spacing w:val="-2"/>
          <w:vertAlign w:val="superscript"/>
        </w:rPr>
        <w:t xml:space="preserve">2</w:t>
      </w:r>
      <w:r>
        <w:rPr>
          <w:i/>
        </w:rPr>
      </w:r>
    </w:p>
    <w:p>
      <w:pPr>
        <w:pStyle w:val="794"/>
        <w:pBdr/>
        <w:spacing/>
        <w:ind w:left="284"/>
        <w:rPr/>
      </w:pPr>
      <w:r>
        <w:t xml:space="preserve">Cronoprogrammi</w:t>
      </w:r>
      <w:r>
        <w:rPr>
          <w:spacing w:val="-6"/>
        </w:rPr>
        <w:t xml:space="preserve"> </w:t>
      </w:r>
      <w:r>
        <w:t xml:space="preserve">da</w:t>
      </w:r>
      <w:r>
        <w:rPr>
          <w:spacing w:val="-5"/>
        </w:rPr>
        <w:t xml:space="preserve"> </w:t>
      </w:r>
      <w:r>
        <w:t xml:space="preserve">adottare</w:t>
      </w:r>
      <w:r>
        <w:rPr>
          <w:spacing w:val="-5"/>
        </w:rPr>
        <w:t xml:space="preserve"> </w:t>
      </w:r>
      <w:r>
        <w:t xml:space="preserve">per</w:t>
      </w:r>
      <w:r>
        <w:rPr>
          <w:spacing w:val="-6"/>
        </w:rPr>
        <w:t xml:space="preserve"> </w:t>
      </w:r>
      <w:r>
        <w:t xml:space="preserve">la</w:t>
      </w:r>
      <w:r>
        <w:rPr>
          <w:spacing w:val="-5"/>
        </w:rPr>
        <w:t xml:space="preserve"> </w:t>
      </w:r>
      <w:r>
        <w:t xml:space="preserve">tipologia</w:t>
      </w:r>
      <w:r>
        <w:rPr>
          <w:spacing w:val="-5"/>
        </w:rPr>
        <w:t xml:space="preserve"> </w:t>
      </w:r>
      <w:r>
        <w:t xml:space="preserve">“opere</w:t>
      </w:r>
      <w:r>
        <w:rPr>
          <w:spacing w:val="-5"/>
        </w:rPr>
        <w:t xml:space="preserve"> </w:t>
      </w:r>
      <w:r>
        <w:rPr>
          <w:spacing w:val="-2"/>
        </w:rPr>
        <w:t xml:space="preserve">pubbliche”</w:t>
      </w:r>
      <w:r/>
    </w:p>
    <w:p>
      <w:pPr>
        <w:pStyle w:val="997"/>
        <w:pBdr/>
        <w:spacing w:before="24"/>
        <w:ind/>
        <w:rPr>
          <w:b/>
        </w:rPr>
      </w:pPr>
      <w:r>
        <w:rPr>
          <w:b/>
        </w:rPr>
      </w:r>
      <w:r>
        <w:rPr>
          <w:b/>
        </w:rPr>
      </w:r>
    </w:p>
    <w:p>
      <w:pPr>
        <w:pBdr/>
        <w:spacing/>
        <w:ind w:left="284"/>
        <w:rPr>
          <w:b/>
        </w:rPr>
      </w:pPr>
      <w:r>
        <w:rPr>
          <w:b/>
        </w:rPr>
        <w:t xml:space="preserve">Cronoprogramma</w:t>
      </w:r>
      <w:r>
        <w:rPr>
          <w:b/>
          <w:spacing w:val="-4"/>
        </w:rPr>
        <w:t xml:space="preserve"> </w:t>
      </w:r>
      <w:r>
        <w:rPr>
          <w:b/>
        </w:rPr>
        <w:t xml:space="preserve">da</w:t>
      </w:r>
      <w:r>
        <w:rPr>
          <w:b/>
          <w:spacing w:val="-4"/>
        </w:rPr>
        <w:t xml:space="preserve"> </w:t>
      </w:r>
      <w:r>
        <w:rPr>
          <w:b/>
        </w:rPr>
        <w:t xml:space="preserve">adottare</w:t>
      </w:r>
      <w:r>
        <w:rPr>
          <w:b/>
          <w:spacing w:val="-4"/>
        </w:rPr>
        <w:t xml:space="preserve"> </w:t>
      </w:r>
      <w:r>
        <w:rPr>
          <w:b/>
        </w:rPr>
        <w:t xml:space="preserve">in</w:t>
      </w:r>
      <w:r>
        <w:rPr>
          <w:b/>
          <w:spacing w:val="-4"/>
        </w:rPr>
        <w:t xml:space="preserve"> </w:t>
      </w:r>
      <w:r>
        <w:rPr>
          <w:b/>
        </w:rPr>
        <w:t xml:space="preserve">caso</w:t>
      </w:r>
      <w:r>
        <w:rPr>
          <w:b/>
          <w:spacing w:val="-4"/>
        </w:rPr>
        <w:t xml:space="preserve"> </w:t>
      </w:r>
      <w:r>
        <w:rPr>
          <w:b/>
        </w:rPr>
        <w:t xml:space="preserve">di</w:t>
      </w:r>
      <w:r>
        <w:rPr>
          <w:b/>
          <w:spacing w:val="-4"/>
        </w:rPr>
        <w:t xml:space="preserve"> </w:t>
      </w:r>
      <w:r>
        <w:rPr>
          <w:b/>
        </w:rPr>
        <w:t xml:space="preserve">ricorso</w:t>
      </w:r>
      <w:r>
        <w:rPr>
          <w:b/>
          <w:spacing w:val="-4"/>
        </w:rPr>
        <w:t xml:space="preserve"> </w:t>
      </w:r>
      <w:r>
        <w:rPr>
          <w:b/>
        </w:rPr>
        <w:t xml:space="preserve">a</w:t>
      </w:r>
      <w:r>
        <w:rPr>
          <w:b/>
          <w:spacing w:val="-4"/>
        </w:rPr>
        <w:t xml:space="preserve"> </w:t>
      </w:r>
      <w:r>
        <w:rPr>
          <w:b/>
        </w:rPr>
        <w:t xml:space="preserve">procedura</w:t>
      </w:r>
      <w:r>
        <w:rPr>
          <w:b/>
          <w:spacing w:val="-4"/>
        </w:rPr>
        <w:t xml:space="preserve"> </w:t>
      </w:r>
      <w:r>
        <w:rPr>
          <w:b/>
        </w:rPr>
        <w:t xml:space="preserve">d’appalto</w:t>
      </w:r>
      <w:r>
        <w:rPr>
          <w:b/>
          <w:spacing w:val="-4"/>
        </w:rPr>
        <w:t xml:space="preserve"> </w:t>
      </w:r>
      <w:r>
        <w:rPr>
          <w:b/>
        </w:rPr>
        <w:t xml:space="preserve">lavori</w:t>
      </w:r>
      <w:r>
        <w:rPr>
          <w:b/>
          <w:spacing w:val="-4"/>
        </w:rPr>
        <w:t xml:space="preserve"> </w:t>
      </w:r>
      <w:r>
        <w:rPr>
          <w:b/>
        </w:rPr>
        <w:t xml:space="preserve">effettuata</w:t>
      </w:r>
      <w:r>
        <w:rPr>
          <w:b/>
          <w:spacing w:val="-4"/>
        </w:rPr>
        <w:t xml:space="preserve"> </w:t>
      </w:r>
      <w:r>
        <w:rPr>
          <w:b/>
        </w:rPr>
        <w:t xml:space="preserve">su</w:t>
      </w:r>
      <w:r>
        <w:rPr>
          <w:b/>
          <w:spacing w:val="-4"/>
        </w:rPr>
        <w:t xml:space="preserve"> </w:t>
      </w:r>
      <w:r>
        <w:rPr>
          <w:b/>
        </w:rPr>
        <w:t xml:space="preserve">progetto </w:t>
      </w:r>
      <w:r>
        <w:rPr>
          <w:b/>
          <w:spacing w:val="-2"/>
        </w:rPr>
        <w:t xml:space="preserve">esecutivo:</w:t>
      </w:r>
      <w:r>
        <w:rPr>
          <w:b/>
        </w:rPr>
      </w:r>
    </w:p>
    <w:p>
      <w:pPr>
        <w:pBdr/>
        <w:spacing/>
        <w:ind w:left="261"/>
        <w:rPr>
          <w:sz w:val="20"/>
        </w:rPr>
      </w:pPr>
      <w:r>
        <w:rPr>
          <w:sz w:val="20"/>
        </w:rPr>
        <mc:AlternateContent>
          <mc:Choice Requires="wpg">
            <w:drawing>
              <wp:inline xmlns:wp="http://schemas.openxmlformats.org/drawingml/2006/wordprocessingDrawing" distT="0" distB="0" distL="0" distR="0">
                <wp:extent cx="6058535" cy="300355"/>
                <wp:effectExtent l="9525" t="0" r="0" b="4445"/>
                <wp:docPr id="9" name="Group 15"/>
                <wp:cNvGraphicFramePr/>
                <a:graphic xmlns:a="http://schemas.openxmlformats.org/drawingml/2006/main">
                  <a:graphicData uri="http://schemas.microsoft.com/office/word/2010/wordprocessingGroup">
                    <wpg:wgp>
                      <wpg:cNvGrpSpPr/>
                      <wpg:grpSpPr bwMode="auto">
                        <a:xfrm>
                          <a:off x="0" y="0"/>
                          <a:ext cx="6058535" cy="300355"/>
                          <a:chOff x="0" y="0"/>
                          <a:chExt cx="6058535" cy="300355"/>
                        </a:xfrm>
                      </wpg:grpSpPr>
                      <wps:wsp>
                        <wps:cNvPr id="0" name=""/>
                        <wps:cNvSpPr/>
                        <wps:spPr bwMode="auto">
                          <a:xfrm>
                            <a:off x="9525" y="9524"/>
                            <a:ext cx="6039485" cy="285750"/>
                          </a:xfrm>
                          <a:custGeom>
                            <a:avLst/>
                            <a:gdLst/>
                            <a:ahLst/>
                            <a:cxnLst/>
                            <a:rect l="l" t="t" r="r" b="b"/>
                            <a:pathLst>
                              <a:path w="6039485" h="285750" fill="norm" stroke="1" extrusionOk="0">
                                <a:moveTo>
                                  <a:pt x="6039485" y="0"/>
                                </a:moveTo>
                                <a:lnTo>
                                  <a:pt x="0" y="0"/>
                                </a:lnTo>
                                <a:lnTo>
                                  <a:pt x="0" y="285750"/>
                                </a:lnTo>
                                <a:lnTo>
                                  <a:pt x="6039485" y="285750"/>
                                </a:lnTo>
                                <a:lnTo>
                                  <a:pt x="6039485" y="0"/>
                                </a:lnTo>
                                <a:close/>
                              </a:path>
                            </a:pathLst>
                          </a:custGeom>
                          <a:solidFill>
                            <a:srgbClr val="CCFFCC"/>
                          </a:solidFill>
                        </wps:spPr>
                        <wps:bodyPr rot="0">
                          <a:prstTxWarp prst="textNoShape">
                            <a:avLst/>
                          </a:prstTxWarp>
                          <a:noAutofit/>
                        </wps:bodyPr>
                      </wps:wsp>
                      <wps:wsp>
                        <wps:cNvPr id="1" name=""/>
                        <wps:cNvSpPr/>
                        <wps:spPr bwMode="auto">
                          <a:xfrm>
                            <a:off x="9525" y="9524"/>
                            <a:ext cx="6039485" cy="285750"/>
                          </a:xfrm>
                          <a:custGeom>
                            <a:avLst/>
                            <a:gdLst/>
                            <a:ahLst/>
                            <a:cxnLst/>
                            <a:rect l="l" t="t" r="r" b="b"/>
                            <a:pathLst>
                              <a:path w="6039485" h="285750" fill="norm" stroke="1" extrusionOk="0">
                                <a:moveTo>
                                  <a:pt x="0" y="0"/>
                                </a:moveTo>
                                <a:lnTo>
                                  <a:pt x="0" y="285750"/>
                                </a:lnTo>
                              </a:path>
                              <a:path w="6039485" h="285750" fill="norm" stroke="1" extrusionOk="0">
                                <a:moveTo>
                                  <a:pt x="6039485" y="0"/>
                                </a:moveTo>
                                <a:lnTo>
                                  <a:pt x="6039485" y="285750"/>
                                </a:lnTo>
                              </a:path>
                              <a:path w="6039485" h="285750" fill="norm" stroke="1" extrusionOk="0">
                                <a:moveTo>
                                  <a:pt x="9524" y="0"/>
                                </a:moveTo>
                                <a:lnTo>
                                  <a:pt x="720090" y="0"/>
                                </a:lnTo>
                              </a:path>
                              <a:path w="6039485" h="285750" fill="norm" stroke="1" extrusionOk="0">
                                <a:moveTo>
                                  <a:pt x="720090" y="0"/>
                                </a:moveTo>
                                <a:lnTo>
                                  <a:pt x="1449704" y="0"/>
                                </a:lnTo>
                              </a:path>
                              <a:path w="6039485" h="285750" fill="norm" stroke="1" extrusionOk="0">
                                <a:moveTo>
                                  <a:pt x="1449704" y="0"/>
                                </a:moveTo>
                                <a:lnTo>
                                  <a:pt x="2110739" y="0"/>
                                </a:lnTo>
                              </a:path>
                              <a:path w="6039485" h="285750" fill="norm" stroke="1" extrusionOk="0">
                                <a:moveTo>
                                  <a:pt x="2110739" y="0"/>
                                </a:moveTo>
                                <a:lnTo>
                                  <a:pt x="2771774" y="0"/>
                                </a:lnTo>
                              </a:path>
                              <a:path w="6039485" h="285750" fill="norm" stroke="1" extrusionOk="0">
                                <a:moveTo>
                                  <a:pt x="2771774" y="0"/>
                                </a:moveTo>
                                <a:lnTo>
                                  <a:pt x="3427094" y="0"/>
                                </a:lnTo>
                              </a:path>
                              <a:path w="6039485" h="285750" fill="norm" stroke="1" extrusionOk="0">
                                <a:moveTo>
                                  <a:pt x="3427094" y="0"/>
                                </a:moveTo>
                                <a:lnTo>
                                  <a:pt x="3910330" y="0"/>
                                </a:lnTo>
                              </a:path>
                              <a:path w="6039485" h="285750" fill="norm" stroke="1" extrusionOk="0">
                                <a:moveTo>
                                  <a:pt x="3910330" y="0"/>
                                </a:moveTo>
                                <a:lnTo>
                                  <a:pt x="4448174" y="0"/>
                                </a:lnTo>
                              </a:path>
                              <a:path w="6039485" h="285750" fill="norm" stroke="1" extrusionOk="0">
                                <a:moveTo>
                                  <a:pt x="4448174" y="0"/>
                                </a:moveTo>
                                <a:lnTo>
                                  <a:pt x="4897120" y="0"/>
                                </a:lnTo>
                              </a:path>
                              <a:path w="6039485" h="285750" fill="norm" stroke="1" extrusionOk="0">
                                <a:moveTo>
                                  <a:pt x="4897120" y="0"/>
                                </a:moveTo>
                                <a:lnTo>
                                  <a:pt x="5669915" y="0"/>
                                </a:lnTo>
                              </a:path>
                              <a:path w="6039485" h="285750" fill="norm" stroke="1" extrusionOk="0">
                                <a:moveTo>
                                  <a:pt x="5669915" y="0"/>
                                </a:moveTo>
                                <a:lnTo>
                                  <a:pt x="6029960" y="0"/>
                                </a:lnTo>
                              </a:path>
                            </a:pathLst>
                          </a:custGeom>
                          <a:ln w="19049">
                            <a:solidFill>
                              <a:srgbClr val="000000"/>
                            </a:solidFill>
                            <a:prstDash val="solid"/>
                          </a:ln>
                        </wps:spPr>
                        <wps:bodyPr rot="0">
                          <a:prstTxWarp prst="textNoShape">
                            <a:avLst/>
                          </a:prstTxWarp>
                          <a:noAutofit/>
                        </wps:bodyPr>
                      </wps:wsp>
                      <wps:wsp>
                        <wps:cNvPr id="2" name=""/>
                        <wps:cNvSpPr/>
                        <wps:spPr bwMode="auto">
                          <a:xfrm>
                            <a:off x="0" y="295274"/>
                            <a:ext cx="6058535" cy="1270"/>
                          </a:xfrm>
                          <a:custGeom>
                            <a:avLst/>
                            <a:gdLst/>
                            <a:ahLst/>
                            <a:cxnLst/>
                            <a:rect l="l" t="t" r="r" b="b"/>
                            <a:pathLst>
                              <a:path w="6058535" fill="norm" stroke="1" extrusionOk="0">
                                <a:moveTo>
                                  <a:pt x="0" y="0"/>
                                </a:moveTo>
                                <a:lnTo>
                                  <a:pt x="6058535" y="0"/>
                                </a:lnTo>
                              </a:path>
                            </a:pathLst>
                          </a:custGeom>
                          <a:ln w="9524">
                            <a:solidFill>
                              <a:srgbClr val="000000"/>
                            </a:solidFill>
                            <a:prstDash val="solid"/>
                          </a:ln>
                        </wps:spPr>
                        <wps:bodyPr rot="0">
                          <a:prstTxWarp prst="textNoShape">
                            <a:avLst/>
                          </a:prstTxWarp>
                          <a:noAutofit/>
                        </wps:bodyPr>
                      </wps:wsp>
                      <wps:wsp>
                        <wps:cNvPr id="3" name=""/>
                        <wps:cNvSpPr txBox="1"/>
                        <wps:spPr bwMode="auto">
                          <a:xfrm>
                            <a:off x="19050" y="19049"/>
                            <a:ext cx="6020435" cy="271780"/>
                          </a:xfrm>
                          <a:prstGeom prst="rect">
                            <a:avLst/>
                          </a:prstGeom>
                        </wps:spPr>
                        <wps:txbx>
                          <w:txbxContent>
                            <w:p>
                              <w:pPr>
                                <w:pBdr/>
                                <w:spacing w:before="15"/>
                                <w:ind w:left="109"/>
                                <w:jc w:val="center"/>
                                <w:rPr>
                                  <w:b/>
                                  <w:sz w:val="24"/>
                                  <w:szCs w:val="24"/>
                                </w:rPr>
                              </w:pPr>
                              <w:r>
                                <w:rPr>
                                  <w:b/>
                                  <w:sz w:val="24"/>
                                  <w:szCs w:val="24"/>
                                </w:rPr>
                                <w:t xml:space="preserve">Step</w:t>
                              </w:r>
                              <w:r>
                                <w:rPr>
                                  <w:b/>
                                  <w:spacing w:val="-2"/>
                                  <w:sz w:val="24"/>
                                  <w:szCs w:val="24"/>
                                </w:rPr>
                                <w:t xml:space="preserve">Procedurale</w:t>
                              </w:r>
                              <w:r>
                                <w:rPr>
                                  <w:b/>
                                  <w:sz w:val="24"/>
                                  <w:szCs w:val="24"/>
                                </w:rPr>
                              </w:r>
                            </w:p>
                          </w:txbxContent>
                        </wps:txbx>
                        <wps:bodyPr wrap="square" lIns="0" tIns="0" rIns="0" bIns="0" rtlCol="0"/>
                      </wps:wsp>
                    </wpg:wgp>
                  </a:graphicData>
                </a:graphic>
              </wp:inline>
            </w:drawing>
          </mc:Choice>
          <mc:Fallback>
            <w:pict>
              <v:group id="group 9" o:spid="_x0000_s0000" style="width:477.05pt;height:23.65pt;mso-wrap-distance-left:0.00pt;mso-wrap-distance-top:0.00pt;mso-wrap-distance-right:0.00pt;mso-wrap-distance-bottom:0.00pt;" coordorigin="0,0" coordsize="60585,3003">
                <v:shape id="shape 10" o:spid="_x0000_s10" style="position:absolute;left:95;top:95;width:60394;height:2857;visibility:visible;" path="m100000,0l0,0l0,100000l100000,100000l100000,0xe" coordsize="100000,100000" fillcolor="#CCFFCC">
                  <v:path textboxrect="0,0,100000,100000"/>
                </v:shape>
                <v:shape id="shape 11" o:spid="_x0000_s11" style="position:absolute;left:95;top:95;width:60394;height:2857;visibility:visible;" path="m0,0l0,100000em100000,0l100000,100000em157,0l11921,0em11921,0l24002,0em24002,0l34947,0em34947,0l45894,0em45894,0l56743,0em56743,0l64745,0em64745,0l73650,0em73650,0l81083,0em81083,0l93880,0em93880,0l99840,0e" coordsize="100000,100000" filled="f" strokecolor="#000000" strokeweight="1.50pt">
                  <v:path textboxrect="0,0,100000,100000"/>
                  <v:stroke dashstyle="solid"/>
                </v:shape>
                <v:shape id="shape 12" o:spid="_x0000_s12" style="position:absolute;left:0;top:2952;width:60585;height:12;visibility:visible;" path="m0,0l100000,0e" coordsize="100000,100000" filled="f" strokecolor="#000000" strokeweight="0.75pt">
                  <v:path textboxrect="0,0,100000,100000"/>
                  <v:stroke dashstyle="solid"/>
                </v:shape>
                <v:shape id="shape 13" o:spid="_x0000_s13" o:spt="202" type="#_x0000_t202" style="position:absolute;left:190;top:190;width:60204;height:2717;visibility:visible;" filled="f">
                  <v:textbox inset="0,0,0,0">
                    <w:txbxContent>
                      <w:p>
                        <w:pPr>
                          <w:pBdr/>
                          <w:spacing w:before="15"/>
                          <w:ind w:left="109"/>
                          <w:jc w:val="center"/>
                          <w:rPr>
                            <w:b/>
                            <w:sz w:val="24"/>
                            <w:szCs w:val="24"/>
                          </w:rPr>
                        </w:pPr>
                        <w:r>
                          <w:rPr>
                            <w:b/>
                            <w:sz w:val="24"/>
                            <w:szCs w:val="24"/>
                          </w:rPr>
                          <w:t xml:space="preserve">Step</w:t>
                        </w:r>
                        <w:r>
                          <w:rPr>
                            <w:b/>
                            <w:spacing w:val="-2"/>
                            <w:sz w:val="24"/>
                            <w:szCs w:val="24"/>
                          </w:rPr>
                          <w:t xml:space="preserve">Procedurale</w:t>
                        </w:r>
                        <w:r>
                          <w:rPr>
                            <w:b/>
                            <w:sz w:val="24"/>
                            <w:szCs w:val="24"/>
                          </w:rPr>
                        </w:r>
                      </w:p>
                    </w:txbxContent>
                  </v:textbox>
                </v:shape>
              </v:group>
            </w:pict>
          </mc:Fallback>
        </mc:AlternateContent>
      </w:r>
      <w:r>
        <w:rPr>
          <w:sz w:val="20"/>
        </w:rPr>
      </w:r>
      <w:r>
        <w:rPr>
          <w:b/>
          <w:sz w:val="20"/>
        </w:rPr>
      </w:r>
      <w:r>
        <w:rPr>
          <w:b/>
          <w:sz w:val="20"/>
        </w:rPr>
      </w:r>
      <w:r>
        <w:rPr>
          <w:sz w:val="20"/>
        </w:rPr>
      </w:r>
    </w:p>
    <w:tbl>
      <w:tblPr>
        <w:tblW w:w="0" w:type="auto"/>
        <w:tblInd w:w="29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1134"/>
        <w:gridCol w:w="1149"/>
        <w:gridCol w:w="1041"/>
        <w:gridCol w:w="1041"/>
        <w:gridCol w:w="1032"/>
        <w:gridCol w:w="761"/>
        <w:gridCol w:w="847"/>
        <w:gridCol w:w="707"/>
        <w:gridCol w:w="1217"/>
        <w:gridCol w:w="582"/>
      </w:tblGrid>
      <w:tr>
        <w:trPr>
          <w:trHeight w:val="1538"/>
        </w:trPr>
        <w:tc>
          <w:tcPr>
            <w:shd w:val="clear" w:color="auto" w:fill="bdd6ed"/>
            <w:tcBorders>
              <w:left w:val="single" w:color="000000" w:sz="12" w:space="0"/>
            </w:tcBorders>
            <w:tcW w:w="1134" w:type="dxa"/>
            <w:textDirection w:val="lrTb"/>
            <w:noWrap w:val="false"/>
          </w:tcPr>
          <w:p>
            <w:pPr>
              <w:pStyle w:val="999"/>
              <w:pBdr/>
              <w:spacing/>
              <w:ind/>
              <w:rPr>
                <w:b/>
                <w:sz w:val="14"/>
              </w:rPr>
            </w:pPr>
            <w:r>
              <w:rPr>
                <w:b/>
                <w:sz w:val="14"/>
              </w:rPr>
            </w:r>
            <w:r>
              <w:rPr>
                <w:b/>
                <w:sz w:val="14"/>
              </w:rPr>
            </w:r>
          </w:p>
          <w:p>
            <w:pPr>
              <w:pStyle w:val="999"/>
              <w:pBdr/>
              <w:spacing w:before="92"/>
              <w:ind/>
              <w:rPr>
                <w:b/>
                <w:sz w:val="14"/>
              </w:rPr>
            </w:pPr>
            <w:r>
              <w:rPr>
                <w:b/>
                <w:sz w:val="14"/>
              </w:rPr>
            </w:r>
            <w:r>
              <w:rPr>
                <w:b/>
                <w:sz w:val="14"/>
              </w:rPr>
            </w:r>
          </w:p>
          <w:p>
            <w:pPr>
              <w:pStyle w:val="999"/>
              <w:pBdr/>
              <w:spacing w:before="1"/>
              <w:ind w:right="101" w:firstLine="8" w:left="169"/>
              <w:jc w:val="both"/>
              <w:rPr>
                <w:b/>
                <w:sz w:val="14"/>
              </w:rPr>
            </w:pPr>
            <w:r>
              <w:rPr>
                <w:b/>
                <w:spacing w:val="-2"/>
                <w:sz w:val="14"/>
              </w:rPr>
              <w:t xml:space="preserve">Sottoscrizione</w:t>
            </w:r>
            <w:r>
              <w:rPr>
                <w:b/>
                <w:spacing w:val="40"/>
                <w:sz w:val="14"/>
              </w:rPr>
              <w:t xml:space="preserve"> </w:t>
            </w:r>
            <w:r>
              <w:rPr>
                <w:b/>
                <w:sz w:val="14"/>
              </w:rPr>
              <w:t xml:space="preserve">disciplinare</w:t>
            </w:r>
            <w:r>
              <w:rPr>
                <w:b/>
                <w:spacing w:val="-8"/>
                <w:sz w:val="14"/>
              </w:rPr>
              <w:t xml:space="preserve"> </w:t>
            </w:r>
            <w:r>
              <w:rPr>
                <w:b/>
                <w:sz w:val="14"/>
              </w:rPr>
              <w:t xml:space="preserve">di</w:t>
            </w:r>
            <w:r>
              <w:rPr>
                <w:b/>
                <w:spacing w:val="40"/>
                <w:sz w:val="14"/>
              </w:rPr>
              <w:t xml:space="preserve"> </w:t>
            </w:r>
            <w:r>
              <w:rPr>
                <w:b/>
                <w:spacing w:val="-2"/>
                <w:sz w:val="14"/>
              </w:rPr>
              <w:t xml:space="preserve">finanziamento</w:t>
            </w:r>
            <w:r>
              <w:rPr>
                <w:b/>
                <w:sz w:val="14"/>
              </w:rPr>
            </w:r>
          </w:p>
        </w:tc>
        <w:tc>
          <w:tcPr>
            <w:tcBorders/>
            <w:tcW w:w="1149" w:type="dxa"/>
            <w:textDirection w:val="lrTb"/>
            <w:noWrap w:val="false"/>
          </w:tcPr>
          <w:p>
            <w:pPr>
              <w:pStyle w:val="999"/>
              <w:pBdr/>
              <w:spacing w:line="170" w:lineRule="atLeast"/>
              <w:ind w:right="-15" w:left="158"/>
              <w:jc w:val="center"/>
              <w:rPr>
                <w:b/>
                <w:sz w:val="14"/>
              </w:rPr>
            </w:pPr>
            <w:r>
              <w:rPr>
                <w:b/>
                <w:spacing w:val="-2"/>
                <w:sz w:val="14"/>
              </w:rPr>
              <w:t xml:space="preserve">Conferimento</w:t>
            </w:r>
            <w:r>
              <w:rPr>
                <w:b/>
                <w:spacing w:val="40"/>
                <w:sz w:val="14"/>
              </w:rPr>
              <w:t xml:space="preserve"> </w:t>
            </w:r>
            <w:r>
              <w:rPr>
                <w:b/>
                <w:sz w:val="14"/>
              </w:rPr>
              <w:t xml:space="preserve">incarico</w:t>
            </w:r>
            <w:r>
              <w:rPr>
                <w:b/>
                <w:spacing w:val="-8"/>
                <w:sz w:val="14"/>
              </w:rPr>
              <w:t xml:space="preserve"> </w:t>
            </w:r>
            <w:r>
              <w:rPr>
                <w:b/>
                <w:sz w:val="14"/>
              </w:rPr>
              <w:t xml:space="preserve">di</w:t>
            </w:r>
            <w:r>
              <w:rPr>
                <w:b/>
                <w:spacing w:val="40"/>
                <w:sz w:val="14"/>
              </w:rPr>
              <w:t xml:space="preserve"> </w:t>
            </w:r>
            <w:r>
              <w:rPr>
                <w:b/>
                <w:sz w:val="14"/>
              </w:rPr>
              <w:t xml:space="preserve">progettazione</w:t>
            </w:r>
            <w:r>
              <w:rPr>
                <w:b/>
                <w:spacing w:val="-8"/>
                <w:sz w:val="14"/>
              </w:rPr>
              <w:t xml:space="preserve"> </w:t>
            </w:r>
            <w:r>
              <w:rPr>
                <w:b/>
                <w:sz w:val="14"/>
              </w:rPr>
              <w:t xml:space="preserve">e</w:t>
            </w:r>
            <w:r>
              <w:rPr>
                <w:b/>
                <w:spacing w:val="40"/>
                <w:sz w:val="14"/>
              </w:rPr>
              <w:t xml:space="preserve"> </w:t>
            </w:r>
            <w:r>
              <w:rPr>
                <w:b/>
                <w:sz w:val="14"/>
              </w:rPr>
              <w:t xml:space="preserve">degli</w:t>
            </w:r>
            <w:r>
              <w:rPr>
                <w:b/>
                <w:spacing w:val="-8"/>
                <w:sz w:val="14"/>
              </w:rPr>
              <w:t xml:space="preserve"> </w:t>
            </w:r>
            <w:r>
              <w:rPr>
                <w:b/>
                <w:sz w:val="14"/>
              </w:rPr>
              <w:t xml:space="preserve">ulteriori</w:t>
            </w:r>
            <w:r>
              <w:rPr>
                <w:b/>
                <w:spacing w:val="40"/>
                <w:sz w:val="14"/>
              </w:rPr>
              <w:t xml:space="preserve"> </w:t>
            </w:r>
            <w:r>
              <w:rPr>
                <w:b/>
                <w:sz w:val="14"/>
              </w:rPr>
              <w:t xml:space="preserve">servizi</w:t>
            </w:r>
            <w:r>
              <w:rPr>
                <w:b/>
                <w:spacing w:val="-8"/>
                <w:sz w:val="14"/>
              </w:rPr>
              <w:t xml:space="preserve"> </w:t>
            </w:r>
            <w:r>
              <w:rPr>
                <w:b/>
                <w:sz w:val="14"/>
              </w:rPr>
              <w:t xml:space="preserve">di</w:t>
            </w:r>
            <w:r>
              <w:rPr>
                <w:b/>
                <w:spacing w:val="40"/>
                <w:sz w:val="14"/>
              </w:rPr>
              <w:t xml:space="preserve"> </w:t>
            </w:r>
            <w:r>
              <w:rPr>
                <w:b/>
                <w:sz w:val="14"/>
              </w:rPr>
              <w:t xml:space="preserve">architettura</w:t>
            </w:r>
            <w:r>
              <w:rPr>
                <w:b/>
                <w:spacing w:val="-8"/>
                <w:sz w:val="14"/>
              </w:rPr>
              <w:t xml:space="preserve"> </w:t>
            </w:r>
            <w:r>
              <w:rPr>
                <w:b/>
                <w:sz w:val="14"/>
              </w:rPr>
              <w:t xml:space="preserve">ed</w:t>
            </w:r>
            <w:r>
              <w:rPr>
                <w:b/>
                <w:spacing w:val="40"/>
                <w:sz w:val="14"/>
              </w:rPr>
              <w:t xml:space="preserve"> </w:t>
            </w:r>
            <w:r>
              <w:rPr>
                <w:b/>
                <w:sz w:val="14"/>
              </w:rPr>
              <w:t xml:space="preserve">ingegneria</w:t>
            </w:r>
            <w:r>
              <w:rPr>
                <w:b/>
                <w:spacing w:val="-8"/>
                <w:sz w:val="14"/>
              </w:rPr>
              <w:t xml:space="preserve"> </w:t>
            </w:r>
            <w:r>
              <w:rPr>
                <w:b/>
                <w:sz w:val="14"/>
              </w:rPr>
              <w:t xml:space="preserve">(DL,</w:t>
            </w:r>
            <w:r>
              <w:rPr>
                <w:b/>
                <w:spacing w:val="40"/>
                <w:sz w:val="14"/>
              </w:rPr>
              <w:t xml:space="preserve"> </w:t>
            </w:r>
            <w:r>
              <w:rPr>
                <w:b/>
                <w:spacing w:val="-2"/>
                <w:sz w:val="14"/>
              </w:rPr>
              <w:t xml:space="preserve">Coord.</w:t>
            </w:r>
            <w:r>
              <w:rPr>
                <w:b/>
                <w:spacing w:val="-6"/>
                <w:sz w:val="14"/>
              </w:rPr>
              <w:t xml:space="preserve"> </w:t>
            </w:r>
            <w:r>
              <w:rPr>
                <w:b/>
                <w:spacing w:val="-2"/>
                <w:sz w:val="14"/>
              </w:rPr>
              <w:t xml:space="preserve">Sicurezza,</w:t>
            </w:r>
            <w:r>
              <w:rPr>
                <w:b/>
                <w:spacing w:val="40"/>
                <w:sz w:val="14"/>
              </w:rPr>
              <w:t xml:space="preserve"> </w:t>
            </w:r>
            <w:r>
              <w:rPr>
                <w:b/>
                <w:sz w:val="14"/>
              </w:rPr>
              <w:t xml:space="preserve">etc…)</w:t>
            </w:r>
            <w:r>
              <w:rPr>
                <w:b/>
                <w:spacing w:val="-8"/>
                <w:sz w:val="14"/>
              </w:rPr>
              <w:t xml:space="preserve"> </w:t>
            </w:r>
            <w:r>
              <w:rPr>
                <w:b/>
                <w:sz w:val="14"/>
              </w:rPr>
              <w:t xml:space="preserve">*</w:t>
            </w:r>
            <w:r>
              <w:rPr>
                <w:b/>
                <w:sz w:val="14"/>
              </w:rPr>
            </w:r>
          </w:p>
        </w:tc>
        <w:tc>
          <w:tcPr>
            <w:tcBorders/>
            <w:tcW w:w="1041"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7"/>
              <w:ind/>
              <w:rPr>
                <w:b/>
                <w:sz w:val="14"/>
              </w:rPr>
            </w:pPr>
            <w:r>
              <w:rPr>
                <w:b/>
                <w:sz w:val="14"/>
              </w:rPr>
            </w:r>
            <w:r>
              <w:rPr>
                <w:b/>
                <w:sz w:val="14"/>
              </w:rPr>
            </w:r>
          </w:p>
          <w:p>
            <w:pPr>
              <w:pStyle w:val="999"/>
              <w:pBdr/>
              <w:spacing/>
              <w:ind w:left="173"/>
              <w:jc w:val="center"/>
              <w:rPr>
                <w:b/>
                <w:sz w:val="14"/>
              </w:rPr>
            </w:pPr>
            <w:r>
              <w:rPr>
                <w:b/>
                <w:spacing w:val="-2"/>
                <w:sz w:val="14"/>
              </w:rPr>
              <w:t xml:space="preserve">Redazione</w:t>
            </w:r>
            <w:r>
              <w:rPr>
                <w:b/>
                <w:spacing w:val="40"/>
                <w:sz w:val="14"/>
              </w:rPr>
              <w:t xml:space="preserve"> </w:t>
            </w:r>
            <w:r>
              <w:rPr>
                <w:b/>
                <w:spacing w:val="-2"/>
                <w:sz w:val="14"/>
              </w:rPr>
              <w:t xml:space="preserve">progettazione</w:t>
            </w:r>
            <w:r>
              <w:rPr>
                <w:b/>
                <w:spacing w:val="40"/>
                <w:sz w:val="14"/>
              </w:rPr>
              <w:t xml:space="preserve"> </w:t>
            </w:r>
            <w:r>
              <w:rPr>
                <w:b/>
                <w:sz w:val="14"/>
              </w:rPr>
              <w:t xml:space="preserve">esecutiva</w:t>
            </w:r>
            <w:r>
              <w:rPr>
                <w:b/>
                <w:spacing w:val="-8"/>
                <w:sz w:val="14"/>
              </w:rPr>
              <w:t xml:space="preserve"> </w:t>
            </w:r>
            <w:r>
              <w:rPr>
                <w:b/>
                <w:sz w:val="14"/>
              </w:rPr>
              <w:t xml:space="preserve">*</w:t>
            </w:r>
            <w:r>
              <w:rPr>
                <w:b/>
                <w:sz w:val="14"/>
              </w:rPr>
            </w:r>
          </w:p>
        </w:tc>
        <w:tc>
          <w:tcPr>
            <w:tcBorders/>
            <w:tcW w:w="1041"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7"/>
              <w:ind/>
              <w:rPr>
                <w:b/>
                <w:sz w:val="14"/>
              </w:rPr>
            </w:pPr>
            <w:r>
              <w:rPr>
                <w:b/>
                <w:sz w:val="14"/>
              </w:rPr>
            </w:r>
            <w:r>
              <w:rPr>
                <w:b/>
                <w:sz w:val="14"/>
              </w:rPr>
            </w:r>
          </w:p>
          <w:p>
            <w:pPr>
              <w:pStyle w:val="999"/>
              <w:pBdr/>
              <w:spacing/>
              <w:ind w:right="18" w:firstLine="3" w:left="191"/>
              <w:jc w:val="both"/>
              <w:rPr>
                <w:b/>
                <w:sz w:val="14"/>
              </w:rPr>
            </w:pPr>
            <w:r>
              <w:rPr>
                <w:b/>
                <w:spacing w:val="-2"/>
                <w:sz w:val="14"/>
              </w:rPr>
              <w:t xml:space="preserve">Approvazione</w:t>
            </w:r>
            <w:r>
              <w:rPr>
                <w:b/>
                <w:spacing w:val="40"/>
                <w:sz w:val="14"/>
              </w:rPr>
              <w:t xml:space="preserve"> </w:t>
            </w:r>
            <w:r>
              <w:rPr>
                <w:b/>
                <w:spacing w:val="-2"/>
                <w:sz w:val="14"/>
              </w:rPr>
              <w:t xml:space="preserve">progettazione</w:t>
            </w:r>
            <w:r>
              <w:rPr>
                <w:b/>
                <w:spacing w:val="40"/>
                <w:sz w:val="14"/>
              </w:rPr>
              <w:t xml:space="preserve"> </w:t>
            </w:r>
            <w:r>
              <w:rPr>
                <w:b/>
                <w:sz w:val="14"/>
              </w:rPr>
              <w:t xml:space="preserve">esecutiva</w:t>
            </w:r>
            <w:r>
              <w:rPr>
                <w:b/>
                <w:spacing w:val="-8"/>
                <w:sz w:val="14"/>
              </w:rPr>
              <w:t xml:space="preserve"> </w:t>
            </w:r>
            <w:r>
              <w:rPr>
                <w:b/>
                <w:sz w:val="14"/>
              </w:rPr>
              <w:t xml:space="preserve">*</w:t>
            </w:r>
            <w:r>
              <w:rPr>
                <w:b/>
                <w:sz w:val="14"/>
              </w:rPr>
            </w:r>
          </w:p>
        </w:tc>
        <w:tc>
          <w:tcPr>
            <w:tcBorders/>
            <w:tcW w:w="1032" w:type="dxa"/>
            <w:textDirection w:val="lrTb"/>
            <w:noWrap w:val="false"/>
          </w:tcPr>
          <w:p>
            <w:pPr>
              <w:pStyle w:val="999"/>
              <w:pBdr/>
              <w:spacing/>
              <w:ind/>
              <w:rPr>
                <w:b/>
                <w:sz w:val="14"/>
              </w:rPr>
            </w:pPr>
            <w:r>
              <w:rPr>
                <w:b/>
                <w:sz w:val="14"/>
              </w:rPr>
            </w:r>
            <w:r>
              <w:rPr>
                <w:b/>
                <w:sz w:val="14"/>
              </w:rPr>
            </w:r>
          </w:p>
          <w:p>
            <w:pPr>
              <w:pStyle w:val="999"/>
              <w:pBdr/>
              <w:spacing w:before="92"/>
              <w:ind/>
              <w:rPr>
                <w:b/>
                <w:sz w:val="14"/>
              </w:rPr>
            </w:pPr>
            <w:r>
              <w:rPr>
                <w:b/>
                <w:sz w:val="14"/>
              </w:rPr>
            </w:r>
            <w:r>
              <w:rPr>
                <w:b/>
                <w:sz w:val="14"/>
              </w:rPr>
            </w:r>
          </w:p>
          <w:p>
            <w:pPr>
              <w:pStyle w:val="999"/>
              <w:pBdr/>
              <w:spacing w:before="1"/>
              <w:ind w:right="18" w:left="191"/>
              <w:jc w:val="center"/>
              <w:rPr>
                <w:b/>
                <w:sz w:val="14"/>
              </w:rPr>
            </w:pPr>
            <w:r>
              <w:rPr>
                <w:b/>
                <w:spacing w:val="-2"/>
                <w:sz w:val="14"/>
              </w:rPr>
              <w:t xml:space="preserve">Espletamento</w:t>
            </w:r>
            <w:r>
              <w:rPr>
                <w:b/>
                <w:spacing w:val="40"/>
                <w:sz w:val="14"/>
              </w:rPr>
              <w:t xml:space="preserve"> </w:t>
            </w:r>
            <w:r>
              <w:rPr>
                <w:b/>
                <w:spacing w:val="-2"/>
                <w:sz w:val="14"/>
              </w:rPr>
              <w:t xml:space="preserve">procedure</w:t>
            </w:r>
            <w:r>
              <w:rPr>
                <w:b/>
                <w:spacing w:val="40"/>
                <w:sz w:val="14"/>
              </w:rPr>
              <w:t xml:space="preserve"> </w:t>
            </w:r>
            <w:r>
              <w:rPr>
                <w:b/>
                <w:sz w:val="14"/>
              </w:rPr>
              <w:t xml:space="preserve">d’appalto</w:t>
            </w:r>
            <w:r>
              <w:rPr>
                <w:b/>
                <w:spacing w:val="-8"/>
                <w:sz w:val="14"/>
              </w:rPr>
              <w:t xml:space="preserve"> </w:t>
            </w:r>
            <w:r>
              <w:rPr>
                <w:b/>
                <w:sz w:val="14"/>
              </w:rPr>
              <w:t xml:space="preserve">per</w:t>
            </w:r>
            <w:r>
              <w:rPr>
                <w:b/>
                <w:spacing w:val="40"/>
                <w:sz w:val="14"/>
              </w:rPr>
              <w:t xml:space="preserve"> </w:t>
            </w:r>
            <w:r>
              <w:rPr>
                <w:b/>
                <w:spacing w:val="-2"/>
                <w:sz w:val="14"/>
              </w:rPr>
              <w:t xml:space="preserve">lavori</w:t>
            </w:r>
            <w:r>
              <w:rPr>
                <w:b/>
                <w:sz w:val="14"/>
              </w:rPr>
            </w:r>
          </w:p>
        </w:tc>
        <w:tc>
          <w:tcPr>
            <w:tcBorders/>
            <w:tcW w:w="761"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92"/>
              <w:ind/>
              <w:rPr>
                <w:b/>
                <w:sz w:val="14"/>
              </w:rPr>
            </w:pPr>
            <w:r>
              <w:rPr>
                <w:b/>
                <w:sz w:val="14"/>
              </w:rPr>
            </w:r>
            <w:r>
              <w:rPr>
                <w:b/>
                <w:sz w:val="14"/>
              </w:rPr>
            </w:r>
          </w:p>
          <w:p>
            <w:pPr>
              <w:pStyle w:val="999"/>
              <w:pBdr/>
              <w:spacing w:before="1"/>
              <w:ind w:right="5" w:hanging="101" w:left="278"/>
              <w:rPr>
                <w:b/>
                <w:sz w:val="14"/>
              </w:rPr>
            </w:pPr>
            <w:r>
              <w:rPr>
                <w:b/>
                <w:spacing w:val="-2"/>
                <w:sz w:val="14"/>
              </w:rPr>
              <w:t xml:space="preserve">Consegna</w:t>
            </w:r>
            <w:r>
              <w:rPr>
                <w:b/>
                <w:spacing w:val="40"/>
                <w:sz w:val="14"/>
              </w:rPr>
              <w:t xml:space="preserve"> </w:t>
            </w:r>
            <w:r>
              <w:rPr>
                <w:b/>
                <w:spacing w:val="-2"/>
                <w:sz w:val="14"/>
              </w:rPr>
              <w:t xml:space="preserve">lavori</w:t>
            </w:r>
            <w:r>
              <w:rPr>
                <w:b/>
                <w:sz w:val="14"/>
              </w:rPr>
            </w:r>
          </w:p>
        </w:tc>
        <w:tc>
          <w:tcPr>
            <w:tcBorders/>
            <w:tcW w:w="847"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92"/>
              <w:ind/>
              <w:rPr>
                <w:b/>
                <w:sz w:val="14"/>
              </w:rPr>
            </w:pPr>
            <w:r>
              <w:rPr>
                <w:b/>
                <w:sz w:val="14"/>
              </w:rPr>
            </w:r>
            <w:r>
              <w:rPr>
                <w:b/>
                <w:sz w:val="14"/>
              </w:rPr>
            </w:r>
          </w:p>
          <w:p>
            <w:pPr>
              <w:pStyle w:val="999"/>
              <w:pBdr/>
              <w:spacing w:before="1"/>
              <w:ind w:right="8" w:hanging="140" w:left="321"/>
              <w:rPr>
                <w:b/>
                <w:sz w:val="14"/>
              </w:rPr>
            </w:pPr>
            <w:r>
              <w:rPr>
                <w:b/>
                <w:spacing w:val="-2"/>
                <w:sz w:val="14"/>
              </w:rPr>
              <w:t xml:space="preserve">Esecuzione</w:t>
            </w:r>
            <w:r>
              <w:rPr>
                <w:b/>
                <w:spacing w:val="40"/>
                <w:sz w:val="14"/>
              </w:rPr>
              <w:t xml:space="preserve"> </w:t>
            </w:r>
            <w:r>
              <w:rPr>
                <w:b/>
                <w:spacing w:val="-2"/>
                <w:sz w:val="14"/>
              </w:rPr>
              <w:t xml:space="preserve">lavori</w:t>
            </w:r>
            <w:r>
              <w:rPr>
                <w:b/>
                <w:sz w:val="14"/>
              </w:rPr>
            </w:r>
          </w:p>
        </w:tc>
        <w:tc>
          <w:tcPr>
            <w:tcBorders/>
            <w:tcW w:w="707"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92"/>
              <w:ind/>
              <w:rPr>
                <w:b/>
                <w:sz w:val="14"/>
              </w:rPr>
            </w:pPr>
            <w:r>
              <w:rPr>
                <w:b/>
                <w:sz w:val="14"/>
              </w:rPr>
            </w:r>
            <w:r>
              <w:rPr>
                <w:b/>
                <w:sz w:val="14"/>
              </w:rPr>
            </w:r>
          </w:p>
          <w:p>
            <w:pPr>
              <w:pStyle w:val="999"/>
              <w:pBdr/>
              <w:spacing w:before="1"/>
              <w:ind w:right="2" w:hanging="76" w:left="251"/>
              <w:rPr>
                <w:b/>
                <w:sz w:val="14"/>
              </w:rPr>
            </w:pPr>
            <w:r>
              <w:rPr>
                <w:b/>
                <w:spacing w:val="-2"/>
                <w:sz w:val="14"/>
              </w:rPr>
              <w:t xml:space="preserve">Collaudo</w:t>
            </w:r>
            <w:r>
              <w:rPr>
                <w:b/>
                <w:spacing w:val="40"/>
                <w:sz w:val="14"/>
              </w:rPr>
              <w:t xml:space="preserve"> </w:t>
            </w:r>
            <w:r>
              <w:rPr>
                <w:b/>
                <w:spacing w:val="-2"/>
                <w:sz w:val="14"/>
              </w:rPr>
              <w:t xml:space="preserve">lavori</w:t>
            </w:r>
            <w:r>
              <w:rPr>
                <w:b/>
                <w:sz w:val="14"/>
              </w:rPr>
            </w:r>
          </w:p>
        </w:tc>
        <w:tc>
          <w:tcPr>
            <w:tcBorders/>
            <w:tcW w:w="1217"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92"/>
              <w:ind/>
              <w:rPr>
                <w:b/>
                <w:sz w:val="14"/>
              </w:rPr>
            </w:pPr>
            <w:r>
              <w:rPr>
                <w:b/>
                <w:sz w:val="14"/>
              </w:rPr>
            </w:r>
            <w:r>
              <w:rPr>
                <w:b/>
                <w:sz w:val="14"/>
              </w:rPr>
            </w:r>
          </w:p>
          <w:p>
            <w:pPr>
              <w:pStyle w:val="999"/>
              <w:pBdr/>
              <w:spacing w:before="1"/>
              <w:ind w:right="28" w:hanging="306" w:left="507"/>
              <w:rPr>
                <w:b/>
                <w:sz w:val="14"/>
              </w:rPr>
            </w:pPr>
            <w:r>
              <w:rPr>
                <w:b/>
                <w:spacing w:val="-2"/>
                <w:sz w:val="14"/>
              </w:rPr>
              <w:t xml:space="preserve">Rendicontazione</w:t>
            </w:r>
            <w:r>
              <w:rPr>
                <w:b/>
                <w:spacing w:val="40"/>
                <w:sz w:val="14"/>
              </w:rPr>
              <w:t xml:space="preserve"> </w:t>
            </w:r>
            <w:r>
              <w:rPr>
                <w:b/>
                <w:spacing w:val="-2"/>
                <w:sz w:val="14"/>
              </w:rPr>
              <w:t xml:space="preserve">finale</w:t>
            </w:r>
            <w:r>
              <w:rPr>
                <w:b/>
                <w:sz w:val="14"/>
              </w:rPr>
            </w:r>
          </w:p>
        </w:tc>
        <w:tc>
          <w:tcPr>
            <w:tcBorders>
              <w:right w:val="single" w:color="000000" w:sz="12" w:space="0"/>
            </w:tcBorders>
            <w:tcW w:w="582"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92"/>
              <w:ind/>
              <w:rPr>
                <w:b/>
                <w:sz w:val="14"/>
              </w:rPr>
            </w:pPr>
            <w:r>
              <w:rPr>
                <w:b/>
                <w:sz w:val="14"/>
              </w:rPr>
            </w:r>
            <w:r>
              <w:rPr>
                <w:b/>
                <w:sz w:val="14"/>
              </w:rPr>
            </w:r>
          </w:p>
          <w:p>
            <w:pPr>
              <w:pStyle w:val="999"/>
              <w:pBdr/>
              <w:spacing w:before="1"/>
              <w:ind w:right="8" w:firstLine="13" w:left="169"/>
              <w:rPr>
                <w:b/>
                <w:sz w:val="14"/>
              </w:rPr>
            </w:pPr>
            <w:r>
              <w:rPr>
                <w:b/>
                <w:spacing w:val="-2"/>
                <w:sz w:val="14"/>
              </w:rPr>
              <w:t xml:space="preserve">Totale</w:t>
            </w:r>
            <w:r>
              <w:rPr>
                <w:b/>
                <w:spacing w:val="40"/>
                <w:sz w:val="14"/>
              </w:rPr>
              <w:t xml:space="preserve"> </w:t>
            </w:r>
            <w:r>
              <w:rPr>
                <w:b/>
                <w:spacing w:val="-2"/>
                <w:sz w:val="14"/>
              </w:rPr>
              <w:t xml:space="preserve">(mesi)</w:t>
            </w:r>
            <w:r>
              <w:rPr>
                <w:b/>
                <w:sz w:val="14"/>
              </w:rPr>
            </w:r>
          </w:p>
        </w:tc>
      </w:tr>
      <w:tr>
        <w:trPr>
          <w:trHeight w:val="676"/>
        </w:trPr>
        <w:tc>
          <w:tcPr>
            <w:tcBorders>
              <w:left w:val="single" w:color="000000" w:sz="12" w:space="0"/>
              <w:bottom w:val="single" w:color="000000" w:sz="12" w:space="0"/>
            </w:tcBorders>
            <w:tcW w:w="1134" w:type="dxa"/>
            <w:textDirection w:val="lrTb"/>
            <w:noWrap w:val="false"/>
          </w:tcPr>
          <w:p>
            <w:pPr>
              <w:pStyle w:val="999"/>
              <w:pBdr/>
              <w:spacing w:line="170" w:lineRule="atLeast"/>
              <w:ind w:right="150" w:hanging="48" w:left="374"/>
              <w:rPr>
                <w:b/>
                <w:sz w:val="14"/>
              </w:rPr>
            </w:pPr>
            <w:r>
              <w:rPr>
                <w:b/>
                <w:spacing w:val="-2"/>
                <w:sz w:val="14"/>
              </w:rPr>
              <w:t xml:space="preserve">Tempistica</w:t>
            </w:r>
            <w:r>
              <w:rPr>
                <w:b/>
                <w:spacing w:val="40"/>
                <w:sz w:val="14"/>
              </w:rPr>
              <w:t xml:space="preserve"> </w:t>
            </w:r>
            <w:r>
              <w:rPr>
                <w:b/>
                <w:spacing w:val="-2"/>
                <w:sz w:val="14"/>
              </w:rPr>
              <w:t xml:space="preserve">massima</w:t>
            </w:r>
            <w:r>
              <w:rPr>
                <w:b/>
                <w:spacing w:val="40"/>
                <w:sz w:val="14"/>
              </w:rPr>
              <w:t xml:space="preserve"> </w:t>
            </w:r>
            <w:r>
              <w:rPr>
                <w:b/>
                <w:spacing w:val="-2"/>
                <w:sz w:val="14"/>
              </w:rPr>
              <w:t xml:space="preserve">prevista</w:t>
            </w:r>
            <w:r>
              <w:rPr>
                <w:b/>
                <w:spacing w:val="40"/>
                <w:sz w:val="14"/>
              </w:rPr>
              <w:t xml:space="preserve"> </w:t>
            </w:r>
            <w:r>
              <w:rPr>
                <w:b/>
                <w:sz w:val="14"/>
              </w:rPr>
              <w:t xml:space="preserve">(in</w:t>
            </w:r>
            <w:r>
              <w:rPr>
                <w:b/>
                <w:spacing w:val="-8"/>
                <w:sz w:val="14"/>
              </w:rPr>
              <w:t xml:space="preserve"> </w:t>
            </w:r>
            <w:r>
              <w:rPr>
                <w:b/>
                <w:sz w:val="14"/>
              </w:rPr>
              <w:t xml:space="preserve">mesi)</w:t>
            </w:r>
            <w:r>
              <w:rPr>
                <w:b/>
                <w:sz w:val="14"/>
              </w:rPr>
            </w:r>
          </w:p>
        </w:tc>
        <w:tc>
          <w:tcPr>
            <w:tcBorders>
              <w:bottom w:val="single" w:color="000000" w:sz="12" w:space="0"/>
            </w:tcBorders>
            <w:tcW w:w="1149"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bottom w:val="single" w:color="000000" w:sz="12" w:space="0"/>
            </w:tcBorders>
            <w:tcW w:w="104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bottom w:val="single" w:color="000000" w:sz="12" w:space="0"/>
            </w:tcBorders>
            <w:tcW w:w="104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bottom w:val="single" w:color="000000" w:sz="12" w:space="0"/>
            </w:tcBorders>
            <w:tcW w:w="1032"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bottom w:val="single" w:color="000000" w:sz="12" w:space="0"/>
            </w:tcBorders>
            <w:tcW w:w="76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bottom w:val="single" w:color="000000" w:sz="12" w:space="0"/>
            </w:tcBorders>
            <w:tcW w:w="847"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bottom w:val="single" w:color="000000" w:sz="12" w:space="0"/>
            </w:tcBorders>
            <w:tcW w:w="707"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bottom w:val="single" w:color="000000" w:sz="12" w:space="0"/>
            </w:tcBorders>
            <w:tcW w:w="1217"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bottom w:val="single" w:color="000000" w:sz="12" w:space="0"/>
              <w:right w:val="single" w:color="000000" w:sz="12" w:space="0"/>
            </w:tcBorders>
            <w:tcW w:w="582"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r>
    </w:tbl>
    <w:p>
      <w:pPr>
        <w:pStyle w:val="997"/>
        <w:pBdr/>
        <w:spacing w:before="22"/>
        <w:ind/>
        <w:rPr>
          <w:b/>
        </w:rPr>
      </w:pPr>
      <w:r>
        <w:rPr>
          <w:b/>
        </w:rPr>
      </w:r>
      <w:r>
        <w:rPr>
          <w:b/>
        </w:rPr>
      </w:r>
    </w:p>
    <w:p>
      <w:pPr>
        <w:pStyle w:val="997"/>
        <w:pBdr/>
        <w:spacing/>
        <w:ind w:left="283"/>
        <w:rPr/>
      </w:pPr>
      <w:r>
        <w:t xml:space="preserve">*</w:t>
      </w:r>
      <w:r>
        <w:rPr>
          <w:spacing w:val="-4"/>
        </w:rPr>
        <w:t xml:space="preserve"> </w:t>
      </w:r>
      <w:r>
        <w:t xml:space="preserve">se</w:t>
      </w:r>
      <w:r>
        <w:rPr>
          <w:spacing w:val="-4"/>
        </w:rPr>
        <w:t xml:space="preserve"> </w:t>
      </w:r>
      <w:r>
        <w:t xml:space="preserve">provvedimento</w:t>
      </w:r>
      <w:r>
        <w:rPr>
          <w:spacing w:val="-4"/>
        </w:rPr>
        <w:t xml:space="preserve"> </w:t>
      </w:r>
      <w:r>
        <w:t xml:space="preserve">di</w:t>
      </w:r>
      <w:r>
        <w:rPr>
          <w:spacing w:val="-4"/>
        </w:rPr>
        <w:t xml:space="preserve"> </w:t>
      </w:r>
      <w:r>
        <w:t xml:space="preserve">finanziamento</w:t>
      </w:r>
      <w:r>
        <w:rPr>
          <w:spacing w:val="-4"/>
        </w:rPr>
        <w:t xml:space="preserve"> </w:t>
      </w:r>
      <w:r>
        <w:t xml:space="preserve">emesso</w:t>
      </w:r>
      <w:r>
        <w:rPr>
          <w:spacing w:val="-4"/>
        </w:rPr>
        <w:t xml:space="preserve"> </w:t>
      </w:r>
      <w:r>
        <w:t xml:space="preserve">su</w:t>
      </w:r>
      <w:r>
        <w:rPr>
          <w:spacing w:val="-4"/>
        </w:rPr>
        <w:t xml:space="preserve"> </w:t>
      </w:r>
      <w:r>
        <w:t xml:space="preserve">progetto</w:t>
      </w:r>
      <w:r>
        <w:rPr>
          <w:spacing w:val="-4"/>
        </w:rPr>
        <w:t xml:space="preserve"> </w:t>
      </w:r>
      <w:r>
        <w:t xml:space="preserve">esecutivo</w:t>
      </w:r>
      <w:r>
        <w:rPr>
          <w:spacing w:val="-4"/>
        </w:rPr>
        <w:t xml:space="preserve"> </w:t>
      </w:r>
      <w:r>
        <w:t xml:space="preserve">valorizzare</w:t>
      </w:r>
      <w:r>
        <w:rPr>
          <w:spacing w:val="-4"/>
        </w:rPr>
        <w:t xml:space="preserve"> </w:t>
      </w:r>
      <w:r>
        <w:t xml:space="preserve">i</w:t>
      </w:r>
      <w:r>
        <w:rPr>
          <w:spacing w:val="-4"/>
        </w:rPr>
        <w:t xml:space="preserve"> </w:t>
      </w:r>
      <w:r>
        <w:t xml:space="preserve">campi</w:t>
      </w:r>
      <w:r>
        <w:rPr>
          <w:spacing w:val="-4"/>
        </w:rPr>
        <w:t xml:space="preserve"> </w:t>
      </w:r>
      <w:r>
        <w:t xml:space="preserve">successivi</w:t>
      </w:r>
      <w:r>
        <w:rPr>
          <w:spacing w:val="-4"/>
        </w:rPr>
        <w:t xml:space="preserve"> </w:t>
      </w:r>
      <w:r>
        <w:t xml:space="preserve">ad “espletamento procedure d’appalto lavori”.</w:t>
      </w:r>
      <w:r/>
    </w:p>
    <w:p>
      <w:pPr>
        <w:pStyle w:val="997"/>
        <w:pBdr/>
        <w:spacing/>
        <w:ind/>
        <w:rPr/>
      </w:pPr>
      <w:r/>
      <w:r/>
    </w:p>
    <w:p>
      <w:pPr>
        <w:pStyle w:val="794"/>
        <w:pBdr/>
        <w:spacing/>
        <w:ind w:left="283"/>
        <w:rPr/>
      </w:pPr>
      <w:r>
        <w:t xml:space="preserve">Cronoprogramma</w:t>
      </w:r>
      <w:r>
        <w:rPr>
          <w:spacing w:val="-3"/>
        </w:rPr>
        <w:t xml:space="preserve"> </w:t>
      </w:r>
      <w:r>
        <w:t xml:space="preserve">da</w:t>
      </w:r>
      <w:r>
        <w:rPr>
          <w:spacing w:val="-3"/>
        </w:rPr>
        <w:t xml:space="preserve"> </w:t>
      </w:r>
      <w:r>
        <w:t xml:space="preserve">adottare</w:t>
      </w:r>
      <w:r>
        <w:rPr>
          <w:spacing w:val="-3"/>
        </w:rPr>
        <w:t xml:space="preserve"> </w:t>
      </w:r>
      <w:r>
        <w:t xml:space="preserve">solo</w:t>
      </w:r>
      <w:r>
        <w:rPr>
          <w:spacing w:val="-3"/>
        </w:rPr>
        <w:t xml:space="preserve"> </w:t>
      </w:r>
      <w:r>
        <w:t xml:space="preserve">In</w:t>
      </w:r>
      <w:r>
        <w:rPr>
          <w:spacing w:val="-3"/>
        </w:rPr>
        <w:t xml:space="preserve"> </w:t>
      </w:r>
      <w:r>
        <w:t xml:space="preserve">caso</w:t>
      </w:r>
      <w:r>
        <w:rPr>
          <w:spacing w:val="-3"/>
        </w:rPr>
        <w:t xml:space="preserve"> </w:t>
      </w:r>
      <w:r>
        <w:t xml:space="preserve">di</w:t>
      </w:r>
      <w:r>
        <w:rPr>
          <w:spacing w:val="-3"/>
        </w:rPr>
        <w:t xml:space="preserve"> </w:t>
      </w:r>
      <w:r>
        <w:t xml:space="preserve">ricorso</w:t>
      </w:r>
      <w:r>
        <w:rPr>
          <w:spacing w:val="-3"/>
        </w:rPr>
        <w:t xml:space="preserve"> </w:t>
      </w:r>
      <w:r>
        <w:t xml:space="preserve">ad</w:t>
      </w:r>
      <w:r>
        <w:rPr>
          <w:spacing w:val="-3"/>
        </w:rPr>
        <w:t xml:space="preserve"> </w:t>
      </w:r>
      <w:r>
        <w:t xml:space="preserve">“appalto</w:t>
      </w:r>
      <w:r>
        <w:rPr>
          <w:spacing w:val="-3"/>
        </w:rPr>
        <w:t xml:space="preserve"> </w:t>
      </w:r>
      <w:r>
        <w:t xml:space="preserve">integrato”</w:t>
      </w:r>
      <w:r>
        <w:rPr>
          <w:spacing w:val="-3"/>
        </w:rPr>
        <w:t xml:space="preserve"> </w:t>
      </w:r>
      <w:r>
        <w:t xml:space="preserve">nei</w:t>
      </w:r>
      <w:r>
        <w:rPr>
          <w:spacing w:val="-3"/>
        </w:rPr>
        <w:t xml:space="preserve"> </w:t>
      </w:r>
      <w:r>
        <w:t xml:space="preserve">casi</w:t>
      </w:r>
      <w:r>
        <w:rPr>
          <w:spacing w:val="-3"/>
        </w:rPr>
        <w:t xml:space="preserve"> </w:t>
      </w:r>
      <w:r>
        <w:t xml:space="preserve">previsti</w:t>
      </w:r>
      <w:r>
        <w:rPr>
          <w:spacing w:val="-3"/>
        </w:rPr>
        <w:t xml:space="preserve"> </w:t>
      </w:r>
      <w:r>
        <w:t xml:space="preserve">dal</w:t>
      </w:r>
      <w:r>
        <w:rPr>
          <w:spacing w:val="-3"/>
        </w:rPr>
        <w:t xml:space="preserve"> </w:t>
      </w:r>
      <w:r>
        <w:t xml:space="preserve">D.</w:t>
      </w:r>
      <w:r>
        <w:rPr>
          <w:spacing w:val="-3"/>
        </w:rPr>
        <w:t xml:space="preserve"> </w:t>
      </w:r>
      <w:r>
        <w:t xml:space="preserve">Lgs. </w:t>
      </w:r>
      <w:r>
        <w:rPr>
          <w:spacing w:val="-2"/>
        </w:rPr>
        <w:t xml:space="preserve">50/2016</w:t>
      </w:r>
      <w:r/>
    </w:p>
    <w:p>
      <w:pPr>
        <w:pStyle w:val="997"/>
        <w:pBdr/>
        <w:spacing w:before="34"/>
        <w:ind/>
        <w:rPr>
          <w:b/>
          <w:sz w:val="20"/>
        </w:rPr>
      </w:pPr>
      <w:r>
        <w:rPr>
          <w:b/>
          <w:sz w:val="20"/>
        </w:rPr>
      </w:r>
      <w:r>
        <w:rPr>
          <w:b/>
          <w:sz w:val="20"/>
        </w:rPr>
      </w:r>
    </w:p>
    <w:tbl>
      <w:tblPr>
        <w:tblW w:w="0" w:type="auto"/>
        <w:tblInd w:w="298"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left w:w="0" w:type="dxa"/>
          <w:right w:w="0" w:type="dxa"/>
        </w:tblCellMar>
        <w:tblLook w:val="01E0" w:firstRow="1" w:lastRow="1" w:firstColumn="1" w:lastColumn="1" w:noHBand="0" w:noVBand="0"/>
      </w:tblPr>
      <w:tblGrid>
        <w:gridCol w:w="1173"/>
        <w:gridCol w:w="1051"/>
        <w:gridCol w:w="1051"/>
        <w:gridCol w:w="1051"/>
        <w:gridCol w:w="1051"/>
        <w:gridCol w:w="764"/>
        <w:gridCol w:w="852"/>
        <w:gridCol w:w="708"/>
        <w:gridCol w:w="1230"/>
        <w:gridCol w:w="580"/>
      </w:tblGrid>
      <w:tr>
        <w:trPr>
          <w:trHeight w:val="1417"/>
        </w:trPr>
        <w:tc>
          <w:tcPr>
            <w:shd w:val="clear" w:color="auto" w:fill="bdd6ed"/>
            <w:tcBorders>
              <w:bottom w:val="single" w:color="000000" w:sz="6" w:space="0"/>
              <w:right w:val="single" w:color="000000" w:sz="6" w:space="0"/>
            </w:tcBorders>
            <w:tcW w:w="1173" w:type="dxa"/>
            <w:textDirection w:val="lrTb"/>
            <w:noWrap w:val="false"/>
          </w:tcPr>
          <w:p>
            <w:pPr>
              <w:pStyle w:val="999"/>
              <w:pBdr/>
              <w:spacing/>
              <w:ind/>
              <w:rPr>
                <w:b/>
                <w:sz w:val="14"/>
              </w:rPr>
            </w:pPr>
            <w:r>
              <w:rPr>
                <w:b/>
                <w:sz w:val="14"/>
              </w:rPr>
            </w:r>
            <w:r>
              <w:rPr>
                <w:b/>
                <w:sz w:val="14"/>
              </w:rPr>
            </w:r>
          </w:p>
          <w:p>
            <w:pPr>
              <w:pStyle w:val="999"/>
              <w:pBdr/>
              <w:spacing w:before="121"/>
              <w:ind/>
              <w:rPr>
                <w:b/>
                <w:sz w:val="14"/>
              </w:rPr>
            </w:pPr>
            <w:r>
              <w:rPr>
                <w:b/>
                <w:sz w:val="14"/>
              </w:rPr>
            </w:r>
            <w:r>
              <w:rPr>
                <w:b/>
                <w:sz w:val="14"/>
              </w:rPr>
            </w:r>
          </w:p>
          <w:p>
            <w:pPr>
              <w:pStyle w:val="999"/>
              <w:pBdr/>
              <w:spacing w:before="1"/>
              <w:ind w:right="128" w:firstLine="40" w:left="157"/>
              <w:jc w:val="both"/>
              <w:rPr>
                <w:b/>
                <w:sz w:val="14"/>
              </w:rPr>
            </w:pPr>
            <w:r>
              <w:rPr>
                <w:b/>
                <w:spacing w:val="-2"/>
                <w:sz w:val="14"/>
              </w:rPr>
              <w:t xml:space="preserve">Sottoscrizione</w:t>
            </w:r>
            <w:r>
              <w:rPr>
                <w:b/>
                <w:spacing w:val="40"/>
                <w:sz w:val="14"/>
              </w:rPr>
              <w:t xml:space="preserve"> </w:t>
            </w:r>
            <w:r>
              <w:rPr>
                <w:b/>
                <w:sz w:val="14"/>
              </w:rPr>
              <w:t xml:space="preserve">disciplinare</w:t>
            </w:r>
            <w:r>
              <w:rPr>
                <w:b/>
                <w:spacing w:val="-8"/>
                <w:sz w:val="14"/>
              </w:rPr>
              <w:t xml:space="preserve"> </w:t>
            </w:r>
            <w:r>
              <w:rPr>
                <w:b/>
                <w:sz w:val="14"/>
              </w:rPr>
              <w:t xml:space="preserve">di</w:t>
            </w:r>
            <w:r>
              <w:rPr>
                <w:b/>
                <w:spacing w:val="40"/>
                <w:sz w:val="14"/>
              </w:rPr>
              <w:t xml:space="preserve"> </w:t>
            </w:r>
            <w:r>
              <w:rPr>
                <w:b/>
                <w:spacing w:val="-2"/>
                <w:sz w:val="14"/>
              </w:rPr>
              <w:t xml:space="preserve">finanziamento</w:t>
            </w:r>
            <w:r>
              <w:rPr>
                <w:b/>
                <w:sz w:val="14"/>
              </w:rPr>
            </w:r>
          </w:p>
        </w:tc>
        <w:tc>
          <w:tcPr>
            <w:tcBorders>
              <w:left w:val="single" w:color="000000" w:sz="6" w:space="0"/>
              <w:bottom w:val="single" w:color="000000" w:sz="6" w:space="0"/>
              <w:right w:val="single" w:color="000000" w:sz="6" w:space="0"/>
            </w:tcBorders>
            <w:tcW w:w="1051" w:type="dxa"/>
            <w:textDirection w:val="lrTb"/>
            <w:noWrap w:val="false"/>
          </w:tcPr>
          <w:p>
            <w:pPr>
              <w:pStyle w:val="999"/>
              <w:pBdr/>
              <w:spacing w:before="121"/>
              <w:ind/>
              <w:rPr>
                <w:b/>
                <w:sz w:val="14"/>
              </w:rPr>
            </w:pPr>
            <w:r>
              <w:rPr>
                <w:b/>
                <w:sz w:val="14"/>
              </w:rPr>
            </w:r>
            <w:r>
              <w:rPr>
                <w:b/>
                <w:sz w:val="14"/>
              </w:rPr>
            </w:r>
          </w:p>
          <w:p>
            <w:pPr>
              <w:pStyle w:val="999"/>
              <w:pBdr/>
              <w:spacing w:before="1"/>
              <w:ind w:right="23" w:firstLine="16" w:left="197"/>
              <w:jc w:val="both"/>
              <w:rPr>
                <w:b/>
                <w:sz w:val="14"/>
              </w:rPr>
            </w:pPr>
            <w:r>
              <w:rPr>
                <w:b/>
                <w:sz w:val="14"/>
              </w:rPr>
              <w:t xml:space="preserve">Redazione</w:t>
            </w:r>
            <w:r>
              <w:rPr>
                <w:b/>
                <w:spacing w:val="-8"/>
                <w:sz w:val="14"/>
              </w:rPr>
              <w:t xml:space="preserve"> </w:t>
            </w:r>
            <w:r>
              <w:rPr>
                <w:b/>
                <w:sz w:val="14"/>
              </w:rPr>
              <w:t xml:space="preserve">ed</w:t>
            </w:r>
            <w:r>
              <w:rPr>
                <w:b/>
                <w:spacing w:val="40"/>
                <w:sz w:val="14"/>
              </w:rPr>
              <w:t xml:space="preserve"> </w:t>
            </w:r>
            <w:r>
              <w:rPr>
                <w:b/>
                <w:spacing w:val="-2"/>
                <w:sz w:val="14"/>
              </w:rPr>
              <w:t xml:space="preserve">approvazione</w:t>
            </w:r>
            <w:r>
              <w:rPr>
                <w:b/>
                <w:spacing w:val="40"/>
                <w:sz w:val="14"/>
              </w:rPr>
              <w:t xml:space="preserve"> </w:t>
            </w:r>
            <w:r>
              <w:rPr>
                <w:b/>
                <w:spacing w:val="-2"/>
                <w:sz w:val="14"/>
              </w:rPr>
              <w:t xml:space="preserve">progettazione</w:t>
            </w:r>
            <w:r>
              <w:rPr>
                <w:b/>
                <w:spacing w:val="40"/>
                <w:sz w:val="14"/>
              </w:rPr>
              <w:t xml:space="preserve"> </w:t>
            </w:r>
            <w:r>
              <w:rPr>
                <w:b/>
                <w:sz w:val="14"/>
              </w:rPr>
              <w:t xml:space="preserve">definitiva</w:t>
            </w:r>
            <w:r>
              <w:rPr>
                <w:b/>
                <w:spacing w:val="-8"/>
                <w:sz w:val="14"/>
              </w:rPr>
              <w:t xml:space="preserve"> </w:t>
            </w:r>
            <w:r>
              <w:rPr>
                <w:b/>
                <w:sz w:val="14"/>
              </w:rPr>
              <w:t xml:space="preserve">**</w:t>
            </w:r>
            <w:r>
              <w:rPr>
                <w:b/>
                <w:sz w:val="14"/>
              </w:rPr>
            </w:r>
          </w:p>
        </w:tc>
        <w:tc>
          <w:tcPr>
            <w:tcBorders>
              <w:left w:val="single" w:color="000000" w:sz="6" w:space="0"/>
              <w:bottom w:val="single" w:color="000000" w:sz="6" w:space="0"/>
              <w:right w:val="single" w:color="000000" w:sz="6" w:space="0"/>
            </w:tcBorders>
            <w:tcW w:w="1051" w:type="dxa"/>
            <w:textDirection w:val="lrTb"/>
            <w:noWrap w:val="false"/>
          </w:tcPr>
          <w:p>
            <w:pPr>
              <w:pStyle w:val="999"/>
              <w:pBdr/>
              <w:spacing w:before="36"/>
              <w:ind/>
              <w:rPr>
                <w:b/>
                <w:sz w:val="14"/>
              </w:rPr>
            </w:pPr>
            <w:r>
              <w:rPr>
                <w:b/>
                <w:sz w:val="14"/>
              </w:rPr>
            </w:r>
            <w:r>
              <w:rPr>
                <w:b/>
                <w:sz w:val="14"/>
              </w:rPr>
            </w:r>
          </w:p>
          <w:p>
            <w:pPr>
              <w:pStyle w:val="999"/>
              <w:pBdr/>
              <w:spacing/>
              <w:ind w:right="23" w:hanging="1" w:left="197"/>
              <w:jc w:val="center"/>
              <w:rPr>
                <w:b/>
                <w:sz w:val="14"/>
              </w:rPr>
            </w:pPr>
            <w:r>
              <w:rPr>
                <w:b/>
                <w:spacing w:val="-2"/>
                <w:sz w:val="14"/>
              </w:rPr>
              <w:t xml:space="preserve">Espletamento</w:t>
            </w:r>
            <w:r>
              <w:rPr>
                <w:b/>
                <w:spacing w:val="40"/>
                <w:sz w:val="14"/>
              </w:rPr>
              <w:t xml:space="preserve"> </w:t>
            </w:r>
            <w:r>
              <w:rPr>
                <w:b/>
                <w:spacing w:val="-2"/>
                <w:sz w:val="14"/>
              </w:rPr>
              <w:t xml:space="preserve">procedure</w:t>
            </w:r>
            <w:r>
              <w:rPr>
                <w:b/>
                <w:spacing w:val="40"/>
                <w:sz w:val="14"/>
              </w:rPr>
              <w:t xml:space="preserve"> </w:t>
            </w:r>
            <w:r>
              <w:rPr>
                <w:b/>
                <w:sz w:val="14"/>
              </w:rPr>
              <w:t xml:space="preserve">d’appalto</w:t>
            </w:r>
            <w:r>
              <w:rPr>
                <w:b/>
                <w:spacing w:val="-8"/>
                <w:sz w:val="14"/>
              </w:rPr>
              <w:t xml:space="preserve"> </w:t>
            </w:r>
            <w:r>
              <w:rPr>
                <w:b/>
                <w:sz w:val="14"/>
              </w:rPr>
              <w:t xml:space="preserve">per</w:t>
            </w:r>
            <w:r>
              <w:rPr>
                <w:b/>
                <w:spacing w:val="40"/>
                <w:sz w:val="14"/>
              </w:rPr>
              <w:t xml:space="preserve"> </w:t>
            </w:r>
            <w:r>
              <w:rPr>
                <w:b/>
                <w:spacing w:val="-2"/>
                <w:sz w:val="14"/>
              </w:rPr>
              <w:t xml:space="preserve">progettazione</w:t>
            </w:r>
            <w:r>
              <w:rPr>
                <w:b/>
                <w:spacing w:val="40"/>
                <w:sz w:val="14"/>
              </w:rPr>
              <w:t xml:space="preserve"> </w:t>
            </w:r>
            <w:r>
              <w:rPr>
                <w:b/>
                <w:sz w:val="14"/>
              </w:rPr>
              <w:t xml:space="preserve">esecutiva</w:t>
            </w:r>
            <w:r>
              <w:rPr>
                <w:b/>
                <w:spacing w:val="-8"/>
                <w:sz w:val="14"/>
              </w:rPr>
              <w:t xml:space="preserve"> </w:t>
            </w:r>
            <w:r>
              <w:rPr>
                <w:b/>
                <w:sz w:val="14"/>
              </w:rPr>
              <w:t xml:space="preserve">e</w:t>
            </w:r>
            <w:r>
              <w:rPr>
                <w:b/>
                <w:spacing w:val="40"/>
                <w:sz w:val="14"/>
              </w:rPr>
              <w:t xml:space="preserve"> </w:t>
            </w:r>
            <w:r>
              <w:rPr>
                <w:b/>
                <w:spacing w:val="-2"/>
                <w:sz w:val="14"/>
              </w:rPr>
              <w:t xml:space="preserve">lavori</w:t>
            </w:r>
            <w:r>
              <w:rPr>
                <w:b/>
                <w:sz w:val="14"/>
              </w:rPr>
            </w:r>
          </w:p>
        </w:tc>
        <w:tc>
          <w:tcPr>
            <w:tcBorders>
              <w:left w:val="single" w:color="000000" w:sz="6" w:space="0"/>
              <w:bottom w:val="single" w:color="000000" w:sz="6" w:space="0"/>
              <w:right w:val="single" w:color="000000" w:sz="6" w:space="0"/>
            </w:tcBorders>
            <w:tcW w:w="1051" w:type="dxa"/>
            <w:textDirection w:val="lrTb"/>
            <w:noWrap w:val="false"/>
          </w:tcPr>
          <w:p>
            <w:pPr>
              <w:pStyle w:val="999"/>
              <w:pBdr/>
              <w:spacing/>
              <w:ind/>
              <w:rPr>
                <w:b/>
                <w:sz w:val="14"/>
              </w:rPr>
            </w:pPr>
            <w:r>
              <w:rPr>
                <w:b/>
                <w:sz w:val="14"/>
              </w:rPr>
            </w:r>
            <w:r>
              <w:rPr>
                <w:b/>
                <w:sz w:val="14"/>
              </w:rPr>
            </w:r>
          </w:p>
          <w:p>
            <w:pPr>
              <w:pStyle w:val="999"/>
              <w:pBdr/>
              <w:spacing w:before="121"/>
              <w:ind/>
              <w:rPr>
                <w:b/>
                <w:sz w:val="14"/>
              </w:rPr>
            </w:pPr>
            <w:r>
              <w:rPr>
                <w:b/>
                <w:sz w:val="14"/>
              </w:rPr>
            </w:r>
            <w:r>
              <w:rPr>
                <w:b/>
                <w:sz w:val="14"/>
              </w:rPr>
            </w:r>
          </w:p>
          <w:p>
            <w:pPr>
              <w:pStyle w:val="999"/>
              <w:pBdr/>
              <w:spacing w:before="1"/>
              <w:ind w:right="23" w:left="197"/>
              <w:jc w:val="center"/>
              <w:rPr>
                <w:b/>
                <w:sz w:val="14"/>
              </w:rPr>
            </w:pPr>
            <w:r>
              <w:rPr>
                <w:b/>
                <w:spacing w:val="-2"/>
                <w:sz w:val="14"/>
              </w:rPr>
              <w:t xml:space="preserve">Redazione</w:t>
            </w:r>
            <w:r>
              <w:rPr>
                <w:b/>
                <w:spacing w:val="40"/>
                <w:sz w:val="14"/>
              </w:rPr>
              <w:t xml:space="preserve"> </w:t>
            </w:r>
            <w:r>
              <w:rPr>
                <w:b/>
                <w:spacing w:val="-2"/>
                <w:sz w:val="14"/>
              </w:rPr>
              <w:t xml:space="preserve">progettazione</w:t>
            </w:r>
            <w:r>
              <w:rPr>
                <w:b/>
                <w:spacing w:val="40"/>
                <w:sz w:val="14"/>
              </w:rPr>
              <w:t xml:space="preserve"> </w:t>
            </w:r>
            <w:r>
              <w:rPr>
                <w:b/>
                <w:spacing w:val="-2"/>
                <w:sz w:val="14"/>
              </w:rPr>
              <w:t xml:space="preserve">esecutiva</w:t>
            </w:r>
            <w:r>
              <w:rPr>
                <w:b/>
                <w:sz w:val="14"/>
              </w:rPr>
            </w:r>
          </w:p>
        </w:tc>
        <w:tc>
          <w:tcPr>
            <w:tcBorders>
              <w:left w:val="single" w:color="000000" w:sz="6" w:space="0"/>
              <w:bottom w:val="single" w:color="000000" w:sz="6" w:space="0"/>
              <w:right w:val="single" w:color="000000" w:sz="6" w:space="0"/>
            </w:tcBorders>
            <w:tcW w:w="1051" w:type="dxa"/>
            <w:textDirection w:val="lrTb"/>
            <w:noWrap w:val="false"/>
          </w:tcPr>
          <w:p>
            <w:pPr>
              <w:pStyle w:val="999"/>
              <w:pBdr/>
              <w:spacing/>
              <w:ind/>
              <w:rPr>
                <w:b/>
                <w:sz w:val="14"/>
              </w:rPr>
            </w:pPr>
            <w:r>
              <w:rPr>
                <w:b/>
                <w:sz w:val="14"/>
              </w:rPr>
            </w:r>
            <w:r>
              <w:rPr>
                <w:b/>
                <w:sz w:val="14"/>
              </w:rPr>
            </w:r>
          </w:p>
          <w:p>
            <w:pPr>
              <w:pStyle w:val="999"/>
              <w:pBdr/>
              <w:spacing w:before="121"/>
              <w:ind/>
              <w:rPr>
                <w:b/>
                <w:sz w:val="14"/>
              </w:rPr>
            </w:pPr>
            <w:r>
              <w:rPr>
                <w:b/>
                <w:sz w:val="14"/>
              </w:rPr>
            </w:r>
            <w:r>
              <w:rPr>
                <w:b/>
                <w:sz w:val="14"/>
              </w:rPr>
            </w:r>
          </w:p>
          <w:p>
            <w:pPr>
              <w:pStyle w:val="999"/>
              <w:pBdr/>
              <w:spacing w:before="1"/>
              <w:ind w:right="23" w:left="197"/>
              <w:jc w:val="center"/>
              <w:rPr>
                <w:b/>
                <w:sz w:val="14"/>
              </w:rPr>
            </w:pPr>
            <w:r>
              <w:rPr>
                <w:b/>
                <w:spacing w:val="-2"/>
                <w:sz w:val="14"/>
              </w:rPr>
              <w:t xml:space="preserve">Approvazione</w:t>
            </w:r>
            <w:r>
              <w:rPr>
                <w:b/>
                <w:spacing w:val="40"/>
                <w:sz w:val="14"/>
              </w:rPr>
              <w:t xml:space="preserve"> </w:t>
            </w:r>
            <w:r>
              <w:rPr>
                <w:b/>
                <w:spacing w:val="-2"/>
                <w:sz w:val="14"/>
              </w:rPr>
              <w:t xml:space="preserve">progettazione</w:t>
            </w:r>
            <w:r>
              <w:rPr>
                <w:b/>
                <w:spacing w:val="40"/>
                <w:sz w:val="14"/>
              </w:rPr>
              <w:t xml:space="preserve"> </w:t>
            </w:r>
            <w:r>
              <w:rPr>
                <w:b/>
                <w:spacing w:val="-2"/>
                <w:sz w:val="14"/>
              </w:rPr>
              <w:t xml:space="preserve">esecutiva</w:t>
            </w:r>
            <w:r>
              <w:rPr>
                <w:b/>
                <w:sz w:val="14"/>
              </w:rPr>
            </w:r>
          </w:p>
        </w:tc>
        <w:tc>
          <w:tcPr>
            <w:tcBorders>
              <w:left w:val="single" w:color="000000" w:sz="6" w:space="0"/>
              <w:bottom w:val="single" w:color="000000" w:sz="6" w:space="0"/>
              <w:right w:val="single" w:color="000000" w:sz="6" w:space="0"/>
            </w:tcBorders>
            <w:tcW w:w="764"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36"/>
              <w:ind/>
              <w:rPr>
                <w:b/>
                <w:sz w:val="14"/>
              </w:rPr>
            </w:pPr>
            <w:r>
              <w:rPr>
                <w:b/>
                <w:sz w:val="14"/>
              </w:rPr>
            </w:r>
            <w:r>
              <w:rPr>
                <w:b/>
                <w:sz w:val="14"/>
              </w:rPr>
            </w:r>
          </w:p>
          <w:p>
            <w:pPr>
              <w:pStyle w:val="999"/>
              <w:pBdr/>
              <w:spacing/>
              <w:ind w:right="4" w:hanging="101" w:left="280"/>
              <w:rPr>
                <w:b/>
                <w:sz w:val="14"/>
              </w:rPr>
            </w:pPr>
            <w:r>
              <w:rPr>
                <w:b/>
                <w:spacing w:val="-2"/>
                <w:sz w:val="14"/>
              </w:rPr>
              <w:t xml:space="preserve">Consegna</w:t>
            </w:r>
            <w:r>
              <w:rPr>
                <w:b/>
                <w:spacing w:val="40"/>
                <w:sz w:val="14"/>
              </w:rPr>
              <w:t xml:space="preserve"> </w:t>
            </w:r>
            <w:r>
              <w:rPr>
                <w:b/>
                <w:spacing w:val="-2"/>
                <w:sz w:val="14"/>
              </w:rPr>
              <w:t xml:space="preserve">lavori</w:t>
            </w:r>
            <w:r>
              <w:rPr>
                <w:b/>
                <w:sz w:val="14"/>
              </w:rPr>
            </w:r>
          </w:p>
        </w:tc>
        <w:tc>
          <w:tcPr>
            <w:tcBorders>
              <w:left w:val="single" w:color="000000" w:sz="6" w:space="0"/>
              <w:bottom w:val="single" w:color="000000" w:sz="6" w:space="0"/>
              <w:right w:val="single" w:color="000000" w:sz="6" w:space="0"/>
            </w:tcBorders>
            <w:tcW w:w="852"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36"/>
              <w:ind/>
              <w:rPr>
                <w:b/>
                <w:sz w:val="14"/>
              </w:rPr>
            </w:pPr>
            <w:r>
              <w:rPr>
                <w:b/>
                <w:sz w:val="14"/>
              </w:rPr>
            </w:r>
            <w:r>
              <w:rPr>
                <w:b/>
                <w:sz w:val="14"/>
              </w:rPr>
            </w:r>
          </w:p>
          <w:p>
            <w:pPr>
              <w:pStyle w:val="999"/>
              <w:pBdr/>
              <w:spacing/>
              <w:ind w:hanging="140" w:left="324"/>
              <w:rPr>
                <w:b/>
                <w:sz w:val="14"/>
              </w:rPr>
            </w:pPr>
            <w:r>
              <w:rPr>
                <w:b/>
                <w:spacing w:val="-2"/>
                <w:sz w:val="14"/>
              </w:rPr>
              <w:t xml:space="preserve">Esecuzione</w:t>
            </w:r>
            <w:r>
              <w:rPr>
                <w:b/>
                <w:spacing w:val="40"/>
                <w:sz w:val="14"/>
              </w:rPr>
              <w:t xml:space="preserve"> </w:t>
            </w:r>
            <w:r>
              <w:rPr>
                <w:b/>
                <w:spacing w:val="-2"/>
                <w:sz w:val="14"/>
              </w:rPr>
              <w:t xml:space="preserve">lavori</w:t>
            </w:r>
            <w:r>
              <w:rPr>
                <w:b/>
                <w:sz w:val="14"/>
              </w:rPr>
            </w:r>
          </w:p>
        </w:tc>
        <w:tc>
          <w:tcPr>
            <w:tcBorders>
              <w:left w:val="single" w:color="000000" w:sz="6" w:space="0"/>
              <w:bottom w:val="single" w:color="000000" w:sz="6" w:space="0"/>
              <w:right w:val="single" w:color="000000" w:sz="6" w:space="0"/>
            </w:tcBorders>
            <w:tcW w:w="708"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36"/>
              <w:ind/>
              <w:rPr>
                <w:b/>
                <w:sz w:val="14"/>
              </w:rPr>
            </w:pPr>
            <w:r>
              <w:rPr>
                <w:b/>
                <w:sz w:val="14"/>
              </w:rPr>
            </w:r>
            <w:r>
              <w:rPr>
                <w:b/>
                <w:sz w:val="14"/>
              </w:rPr>
            </w:r>
          </w:p>
          <w:p>
            <w:pPr>
              <w:pStyle w:val="999"/>
              <w:pBdr/>
              <w:spacing/>
              <w:ind w:hanging="76" w:left="252"/>
              <w:rPr>
                <w:b/>
                <w:sz w:val="14"/>
              </w:rPr>
            </w:pPr>
            <w:r>
              <w:rPr>
                <w:b/>
                <w:spacing w:val="-2"/>
                <w:sz w:val="14"/>
              </w:rPr>
              <w:t xml:space="preserve">Collaudo</w:t>
            </w:r>
            <w:r>
              <w:rPr>
                <w:b/>
                <w:spacing w:val="40"/>
                <w:sz w:val="14"/>
              </w:rPr>
              <w:t xml:space="preserve"> </w:t>
            </w:r>
            <w:r>
              <w:rPr>
                <w:b/>
                <w:spacing w:val="-2"/>
                <w:sz w:val="14"/>
              </w:rPr>
              <w:t xml:space="preserve">lavori</w:t>
            </w:r>
            <w:r>
              <w:rPr>
                <w:b/>
                <w:sz w:val="14"/>
              </w:rPr>
            </w:r>
          </w:p>
        </w:tc>
        <w:tc>
          <w:tcPr>
            <w:tcBorders>
              <w:left w:val="single" w:color="000000" w:sz="6" w:space="0"/>
              <w:bottom w:val="single" w:color="000000" w:sz="6" w:space="0"/>
              <w:right w:val="single" w:color="000000" w:sz="6" w:space="0"/>
            </w:tcBorders>
            <w:tcW w:w="1230"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36"/>
              <w:ind/>
              <w:rPr>
                <w:b/>
                <w:sz w:val="14"/>
              </w:rPr>
            </w:pPr>
            <w:r>
              <w:rPr>
                <w:b/>
                <w:sz w:val="14"/>
              </w:rPr>
            </w:r>
            <w:r>
              <w:rPr>
                <w:b/>
                <w:sz w:val="14"/>
              </w:rPr>
            </w:r>
          </w:p>
          <w:p>
            <w:pPr>
              <w:pStyle w:val="999"/>
              <w:pBdr/>
              <w:spacing/>
              <w:ind w:hanging="306" w:left="513"/>
              <w:rPr>
                <w:b/>
                <w:sz w:val="14"/>
              </w:rPr>
            </w:pPr>
            <w:r>
              <w:rPr>
                <w:b/>
                <w:spacing w:val="-2"/>
                <w:sz w:val="14"/>
              </w:rPr>
              <w:t xml:space="preserve">Rendicontazione</w:t>
            </w:r>
            <w:r>
              <w:rPr>
                <w:b/>
                <w:spacing w:val="40"/>
                <w:sz w:val="14"/>
              </w:rPr>
              <w:t xml:space="preserve"> </w:t>
            </w:r>
            <w:r>
              <w:rPr>
                <w:b/>
                <w:spacing w:val="-2"/>
                <w:sz w:val="14"/>
              </w:rPr>
              <w:t xml:space="preserve">finale</w:t>
            </w:r>
            <w:r>
              <w:rPr>
                <w:b/>
                <w:sz w:val="14"/>
              </w:rPr>
            </w:r>
          </w:p>
        </w:tc>
        <w:tc>
          <w:tcPr>
            <w:tcBorders>
              <w:left w:val="single" w:color="000000" w:sz="6" w:space="0"/>
              <w:bottom w:val="single" w:color="000000" w:sz="6" w:space="0"/>
            </w:tcBorders>
            <w:tcW w:w="580"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36"/>
              <w:ind/>
              <w:rPr>
                <w:b/>
                <w:sz w:val="14"/>
              </w:rPr>
            </w:pPr>
            <w:r>
              <w:rPr>
                <w:b/>
                <w:sz w:val="14"/>
              </w:rPr>
            </w:r>
            <w:r>
              <w:rPr>
                <w:b/>
                <w:sz w:val="14"/>
              </w:rPr>
            </w:r>
          </w:p>
          <w:p>
            <w:pPr>
              <w:pStyle w:val="999"/>
              <w:pBdr/>
              <w:spacing/>
              <w:ind w:right="1" w:firstLine="13" w:left="168"/>
              <w:rPr>
                <w:b/>
                <w:sz w:val="14"/>
              </w:rPr>
            </w:pPr>
            <w:r>
              <w:rPr>
                <w:b/>
                <w:spacing w:val="-2"/>
                <w:sz w:val="14"/>
              </w:rPr>
              <w:t xml:space="preserve">Totale</w:t>
            </w:r>
            <w:r>
              <w:rPr>
                <w:b/>
                <w:spacing w:val="40"/>
                <w:sz w:val="14"/>
              </w:rPr>
              <w:t xml:space="preserve"> </w:t>
            </w:r>
            <w:r>
              <w:rPr>
                <w:b/>
                <w:spacing w:val="-2"/>
                <w:sz w:val="14"/>
              </w:rPr>
              <w:t xml:space="preserve">(mesi)</w:t>
            </w:r>
            <w:r>
              <w:rPr>
                <w:b/>
                <w:sz w:val="14"/>
              </w:rPr>
            </w:r>
          </w:p>
        </w:tc>
      </w:tr>
      <w:tr>
        <w:trPr>
          <w:trHeight w:val="676"/>
        </w:trPr>
        <w:tc>
          <w:tcPr>
            <w:tcBorders>
              <w:top w:val="single" w:color="000000" w:sz="6" w:space="0"/>
              <w:right w:val="single" w:color="000000" w:sz="6" w:space="0"/>
            </w:tcBorders>
            <w:tcW w:w="1173" w:type="dxa"/>
            <w:textDirection w:val="lrTb"/>
            <w:noWrap w:val="false"/>
          </w:tcPr>
          <w:p>
            <w:pPr>
              <w:pStyle w:val="999"/>
              <w:pBdr/>
              <w:spacing w:line="170" w:lineRule="atLeast"/>
              <w:ind w:right="169" w:hanging="48" w:left="394"/>
              <w:rPr>
                <w:b/>
                <w:sz w:val="14"/>
              </w:rPr>
            </w:pPr>
            <w:r>
              <w:rPr>
                <w:b/>
                <w:spacing w:val="-2"/>
                <w:sz w:val="14"/>
              </w:rPr>
              <w:t xml:space="preserve">Tempistica</w:t>
            </w:r>
            <w:r>
              <w:rPr>
                <w:b/>
                <w:spacing w:val="40"/>
                <w:sz w:val="14"/>
              </w:rPr>
              <w:t xml:space="preserve"> </w:t>
            </w:r>
            <w:r>
              <w:rPr>
                <w:b/>
                <w:spacing w:val="-2"/>
                <w:sz w:val="14"/>
              </w:rPr>
              <w:t xml:space="preserve">massima</w:t>
            </w:r>
            <w:r>
              <w:rPr>
                <w:b/>
                <w:spacing w:val="40"/>
                <w:sz w:val="14"/>
              </w:rPr>
              <w:t xml:space="preserve"> </w:t>
            </w:r>
            <w:r>
              <w:rPr>
                <w:b/>
                <w:spacing w:val="-2"/>
                <w:sz w:val="14"/>
              </w:rPr>
              <w:t xml:space="preserve">prevista</w:t>
            </w:r>
            <w:r>
              <w:rPr>
                <w:b/>
                <w:spacing w:val="40"/>
                <w:sz w:val="14"/>
              </w:rPr>
              <w:t xml:space="preserve"> </w:t>
            </w:r>
            <w:r>
              <w:rPr>
                <w:b/>
                <w:sz w:val="14"/>
              </w:rPr>
              <w:t xml:space="preserve">(in</w:t>
            </w:r>
            <w:r>
              <w:rPr>
                <w:b/>
                <w:spacing w:val="-8"/>
                <w:sz w:val="14"/>
              </w:rPr>
              <w:t xml:space="preserve"> </w:t>
            </w:r>
            <w:r>
              <w:rPr>
                <w:b/>
                <w:sz w:val="14"/>
              </w:rPr>
              <w:t xml:space="preserve">mesi)</w:t>
            </w:r>
            <w:r>
              <w:rPr>
                <w:b/>
                <w:sz w:val="14"/>
              </w:rPr>
            </w:r>
          </w:p>
        </w:tc>
        <w:tc>
          <w:tcPr>
            <w:tcBorders>
              <w:top w:val="single" w:color="000000" w:sz="6" w:space="0"/>
              <w:left w:val="single" w:color="000000" w:sz="6" w:space="0"/>
              <w:right w:val="single" w:color="000000" w:sz="6" w:space="0"/>
            </w:tcBorders>
            <w:tcW w:w="105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05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05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05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764"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852"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708"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230"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op w:val="single" w:color="000000" w:sz="6" w:space="0"/>
              <w:left w:val="single" w:color="000000" w:sz="6" w:space="0"/>
            </w:tcBorders>
            <w:tcW w:w="580"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r>
    </w:tbl>
    <w:p>
      <w:pPr>
        <w:pStyle w:val="997"/>
        <w:pBdr/>
        <w:spacing w:before="15"/>
        <w:ind/>
        <w:rPr>
          <w:b/>
        </w:rPr>
      </w:pPr>
      <w:r>
        <w:rPr>
          <w:b/>
        </w:rPr>
      </w:r>
      <w:r>
        <w:rPr>
          <w:b/>
        </w:rPr>
      </w:r>
    </w:p>
    <w:p>
      <w:pPr>
        <w:pStyle w:val="997"/>
        <w:pBdr/>
        <w:spacing/>
        <w:ind w:right="147" w:left="283"/>
        <w:rPr/>
      </w:pPr>
      <w:r>
        <w:t xml:space="preserve">**</w:t>
      </w:r>
      <w:r>
        <w:rPr>
          <w:spacing w:val="-4"/>
        </w:rPr>
        <w:t xml:space="preserve"> </w:t>
      </w:r>
      <w:r>
        <w:t xml:space="preserve">se</w:t>
      </w:r>
      <w:r>
        <w:rPr>
          <w:spacing w:val="-4"/>
        </w:rPr>
        <w:t xml:space="preserve"> </w:t>
      </w:r>
      <w:r>
        <w:t xml:space="preserve">provvedimento</w:t>
      </w:r>
      <w:r>
        <w:rPr>
          <w:spacing w:val="-4"/>
        </w:rPr>
        <w:t xml:space="preserve"> </w:t>
      </w:r>
      <w:r>
        <w:t xml:space="preserve">di</w:t>
      </w:r>
      <w:r>
        <w:rPr>
          <w:spacing w:val="-4"/>
        </w:rPr>
        <w:t xml:space="preserve"> </w:t>
      </w:r>
      <w:r>
        <w:t xml:space="preserve">finanziamento</w:t>
      </w:r>
      <w:r>
        <w:rPr>
          <w:spacing w:val="-4"/>
        </w:rPr>
        <w:t xml:space="preserve"> </w:t>
      </w:r>
      <w:r>
        <w:t xml:space="preserve">emesso</w:t>
      </w:r>
      <w:r>
        <w:rPr>
          <w:spacing w:val="-4"/>
        </w:rPr>
        <w:t xml:space="preserve"> </w:t>
      </w:r>
      <w:r>
        <w:t xml:space="preserve">su</w:t>
      </w:r>
      <w:r>
        <w:rPr>
          <w:spacing w:val="-4"/>
        </w:rPr>
        <w:t xml:space="preserve"> </w:t>
      </w:r>
      <w:r>
        <w:t xml:space="preserve">progetto</w:t>
      </w:r>
      <w:r>
        <w:rPr>
          <w:spacing w:val="-4"/>
        </w:rPr>
        <w:t xml:space="preserve"> </w:t>
      </w:r>
      <w:r>
        <w:t xml:space="preserve">definitivo</w:t>
      </w:r>
      <w:r>
        <w:rPr>
          <w:spacing w:val="-4"/>
        </w:rPr>
        <w:t xml:space="preserve"> </w:t>
      </w:r>
      <w:r>
        <w:t xml:space="preserve">valorizzare</w:t>
      </w:r>
      <w:r>
        <w:rPr>
          <w:spacing w:val="-4"/>
        </w:rPr>
        <w:t xml:space="preserve"> </w:t>
      </w:r>
      <w:r>
        <w:t xml:space="preserve">i</w:t>
      </w:r>
      <w:r>
        <w:rPr>
          <w:spacing w:val="-4"/>
        </w:rPr>
        <w:t xml:space="preserve"> </w:t>
      </w:r>
      <w:r>
        <w:t xml:space="preserve">campi</w:t>
      </w:r>
      <w:r>
        <w:rPr>
          <w:spacing w:val="-4"/>
        </w:rPr>
        <w:t xml:space="preserve"> </w:t>
      </w:r>
      <w:r>
        <w:t xml:space="preserve">successivi</w:t>
      </w:r>
      <w:r>
        <w:rPr>
          <w:spacing w:val="-4"/>
        </w:rPr>
        <w:t xml:space="preserve"> </w:t>
      </w:r>
      <w:r>
        <w:t xml:space="preserve">ad “espletamento procedure d’appalto per progettazione esecutiva e lavori”.</w:t>
      </w:r>
      <w:r/>
    </w:p>
    <w:p>
      <w:pPr>
        <w:pStyle w:val="794"/>
        <w:pBdr/>
        <w:spacing/>
        <w:ind w:left="283"/>
        <w:rPr/>
      </w:pPr>
      <w:r>
        <w:t xml:space="preserve">Cronoprogramma</w:t>
      </w:r>
      <w:r>
        <w:rPr>
          <w:spacing w:val="-3"/>
        </w:rPr>
        <w:t xml:space="preserve"> </w:t>
      </w:r>
      <w:r>
        <w:t xml:space="preserve">da</w:t>
      </w:r>
      <w:r>
        <w:rPr>
          <w:spacing w:val="-3"/>
        </w:rPr>
        <w:t xml:space="preserve"> </w:t>
      </w:r>
      <w:r>
        <w:t xml:space="preserve">adottare</w:t>
      </w:r>
      <w:r>
        <w:rPr>
          <w:spacing w:val="-3"/>
        </w:rPr>
        <w:t xml:space="preserve"> </w:t>
      </w:r>
      <w:r>
        <w:t xml:space="preserve">solo</w:t>
      </w:r>
      <w:r>
        <w:rPr>
          <w:spacing w:val="-3"/>
        </w:rPr>
        <w:t xml:space="preserve"> </w:t>
      </w:r>
      <w:r>
        <w:t xml:space="preserve">In</w:t>
      </w:r>
      <w:r>
        <w:rPr>
          <w:spacing w:val="-3"/>
        </w:rPr>
        <w:t xml:space="preserve"> </w:t>
      </w:r>
      <w:r>
        <w:t xml:space="preserve">caso</w:t>
      </w:r>
      <w:r>
        <w:rPr>
          <w:spacing w:val="-3"/>
        </w:rPr>
        <w:t xml:space="preserve"> </w:t>
      </w:r>
      <w:r>
        <w:t xml:space="preserve">di</w:t>
      </w:r>
      <w:r>
        <w:rPr>
          <w:spacing w:val="-3"/>
        </w:rPr>
        <w:t xml:space="preserve"> </w:t>
      </w:r>
      <w:r>
        <w:t xml:space="preserve">ricorso</w:t>
      </w:r>
      <w:r>
        <w:rPr>
          <w:spacing w:val="-3"/>
        </w:rPr>
        <w:t xml:space="preserve"> </w:t>
      </w:r>
      <w:r>
        <w:t xml:space="preserve">ad</w:t>
      </w:r>
      <w:r>
        <w:rPr>
          <w:spacing w:val="-3"/>
        </w:rPr>
        <w:t xml:space="preserve"> </w:t>
      </w:r>
      <w:r>
        <w:t xml:space="preserve">“appalto</w:t>
      </w:r>
      <w:r>
        <w:rPr>
          <w:spacing w:val="-3"/>
        </w:rPr>
        <w:t xml:space="preserve"> </w:t>
      </w:r>
      <w:r>
        <w:t xml:space="preserve">integrato”</w:t>
      </w:r>
      <w:r>
        <w:rPr>
          <w:spacing w:val="-3"/>
        </w:rPr>
        <w:t xml:space="preserve"> </w:t>
      </w:r>
      <w:r>
        <w:t xml:space="preserve">nei</w:t>
      </w:r>
      <w:r>
        <w:rPr>
          <w:spacing w:val="-3"/>
        </w:rPr>
        <w:t xml:space="preserve"> </w:t>
      </w:r>
      <w:r>
        <w:t xml:space="preserve">casi</w:t>
      </w:r>
      <w:r>
        <w:rPr>
          <w:spacing w:val="-3"/>
        </w:rPr>
        <w:t xml:space="preserve"> </w:t>
      </w:r>
      <w:r>
        <w:t xml:space="preserve">previsti</w:t>
      </w:r>
      <w:r>
        <w:rPr>
          <w:spacing w:val="-3"/>
        </w:rPr>
        <w:t xml:space="preserve"> </w:t>
      </w:r>
      <w:r>
        <w:t xml:space="preserve">dal</w:t>
      </w:r>
      <w:r>
        <w:rPr>
          <w:spacing w:val="-3"/>
        </w:rPr>
        <w:t xml:space="preserve"> </w:t>
      </w:r>
      <w:r>
        <w:t xml:space="preserve">D.</w:t>
      </w:r>
      <w:r>
        <w:rPr>
          <w:spacing w:val="-3"/>
        </w:rPr>
        <w:t xml:space="preserve"> </w:t>
      </w:r>
      <w:r>
        <w:t xml:space="preserve">Lgs. </w:t>
      </w:r>
      <w:r>
        <w:rPr>
          <w:spacing w:val="-2"/>
        </w:rPr>
        <w:t xml:space="preserve">36/2023</w:t>
      </w:r>
      <w:r/>
    </w:p>
    <w:p>
      <w:pPr>
        <w:pStyle w:val="997"/>
        <w:pBdr/>
        <w:spacing w:before="34"/>
        <w:ind/>
        <w:rPr>
          <w:b/>
          <w:sz w:val="20"/>
        </w:rPr>
      </w:pPr>
      <w:r>
        <w:rPr>
          <w:b/>
          <w:sz w:val="20"/>
        </w:rPr>
      </w:r>
      <w:r>
        <w:rPr>
          <w:b/>
          <w:sz w:val="20"/>
        </w:rPr>
      </w:r>
    </w:p>
    <w:tbl>
      <w:tblPr>
        <w:tblW w:w="0" w:type="auto"/>
        <w:tblInd w:w="298"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left w:w="0" w:type="dxa"/>
          <w:right w:w="0" w:type="dxa"/>
        </w:tblCellMar>
        <w:tblLook w:val="01E0" w:firstRow="1" w:lastRow="1" w:firstColumn="1" w:lastColumn="1" w:noHBand="0" w:noVBand="0"/>
      </w:tblPr>
      <w:tblGrid>
        <w:gridCol w:w="1173"/>
        <w:gridCol w:w="1051"/>
        <w:gridCol w:w="1051"/>
        <w:gridCol w:w="1051"/>
        <w:gridCol w:w="1051"/>
        <w:gridCol w:w="764"/>
        <w:gridCol w:w="852"/>
        <w:gridCol w:w="708"/>
        <w:gridCol w:w="1230"/>
        <w:gridCol w:w="580"/>
      </w:tblGrid>
      <w:tr>
        <w:trPr>
          <w:trHeight w:val="1417"/>
        </w:trPr>
        <w:tc>
          <w:tcPr>
            <w:shd w:val="clear" w:color="auto" w:fill="bdd6ed"/>
            <w:tcBorders>
              <w:bottom w:val="single" w:color="000000" w:sz="6" w:space="0"/>
              <w:right w:val="single" w:color="000000" w:sz="6" w:space="0"/>
            </w:tcBorders>
            <w:tcW w:w="1173" w:type="dxa"/>
            <w:textDirection w:val="lrTb"/>
            <w:noWrap w:val="false"/>
          </w:tcPr>
          <w:p>
            <w:pPr>
              <w:pStyle w:val="999"/>
              <w:pBdr/>
              <w:spacing/>
              <w:ind/>
              <w:rPr>
                <w:b/>
                <w:sz w:val="14"/>
              </w:rPr>
            </w:pPr>
            <w:r>
              <w:rPr>
                <w:b/>
                <w:sz w:val="14"/>
              </w:rPr>
            </w:r>
            <w:r>
              <w:rPr>
                <w:b/>
                <w:sz w:val="14"/>
              </w:rPr>
            </w:r>
          </w:p>
          <w:p>
            <w:pPr>
              <w:pStyle w:val="999"/>
              <w:pBdr/>
              <w:spacing w:before="121"/>
              <w:ind/>
              <w:rPr>
                <w:b/>
                <w:sz w:val="14"/>
              </w:rPr>
            </w:pPr>
            <w:r>
              <w:rPr>
                <w:b/>
                <w:sz w:val="14"/>
              </w:rPr>
            </w:r>
            <w:r>
              <w:rPr>
                <w:b/>
                <w:sz w:val="14"/>
              </w:rPr>
            </w:r>
          </w:p>
          <w:p>
            <w:pPr>
              <w:pStyle w:val="999"/>
              <w:pBdr/>
              <w:spacing w:before="1"/>
              <w:ind w:right="128" w:firstLine="40" w:left="157"/>
              <w:jc w:val="both"/>
              <w:rPr>
                <w:b/>
                <w:sz w:val="14"/>
              </w:rPr>
            </w:pPr>
            <w:r>
              <w:rPr>
                <w:b/>
                <w:spacing w:val="-2"/>
                <w:sz w:val="14"/>
              </w:rPr>
              <w:t xml:space="preserve">Sottoscrizione</w:t>
            </w:r>
            <w:r>
              <w:rPr>
                <w:b/>
                <w:spacing w:val="40"/>
                <w:sz w:val="14"/>
              </w:rPr>
              <w:t xml:space="preserve"> </w:t>
            </w:r>
            <w:r>
              <w:rPr>
                <w:b/>
                <w:sz w:val="14"/>
              </w:rPr>
              <w:t xml:space="preserve">disciplinare</w:t>
            </w:r>
            <w:r>
              <w:rPr>
                <w:b/>
                <w:spacing w:val="-8"/>
                <w:sz w:val="14"/>
              </w:rPr>
              <w:t xml:space="preserve"> </w:t>
            </w:r>
            <w:r>
              <w:rPr>
                <w:b/>
                <w:sz w:val="14"/>
              </w:rPr>
              <w:t xml:space="preserve">di</w:t>
            </w:r>
            <w:r>
              <w:rPr>
                <w:b/>
                <w:spacing w:val="40"/>
                <w:sz w:val="14"/>
              </w:rPr>
              <w:t xml:space="preserve"> </w:t>
            </w:r>
            <w:r>
              <w:rPr>
                <w:b/>
                <w:spacing w:val="-2"/>
                <w:sz w:val="14"/>
              </w:rPr>
              <w:t xml:space="preserve">finanziamento</w:t>
            </w:r>
            <w:r>
              <w:rPr>
                <w:b/>
                <w:sz w:val="14"/>
              </w:rPr>
            </w:r>
          </w:p>
        </w:tc>
        <w:tc>
          <w:tcPr>
            <w:tcBorders>
              <w:left w:val="single" w:color="000000" w:sz="6" w:space="0"/>
              <w:bottom w:val="single" w:color="000000" w:sz="6" w:space="0"/>
              <w:right w:val="single" w:color="000000" w:sz="6" w:space="0"/>
            </w:tcBorders>
            <w:tcW w:w="1051" w:type="dxa"/>
            <w:textDirection w:val="lrTb"/>
            <w:noWrap w:val="false"/>
          </w:tcPr>
          <w:p>
            <w:pPr>
              <w:pStyle w:val="999"/>
              <w:pBdr/>
              <w:spacing w:before="122"/>
              <w:ind w:right="23" w:left="197"/>
              <w:jc w:val="center"/>
              <w:rPr>
                <w:b/>
                <w:sz w:val="14"/>
              </w:rPr>
            </w:pPr>
            <w:r>
              <w:rPr>
                <w:b/>
                <w:sz w:val="14"/>
              </w:rPr>
              <w:t xml:space="preserve">Redazione</w:t>
            </w:r>
            <w:r>
              <w:rPr>
                <w:b/>
                <w:spacing w:val="-8"/>
                <w:sz w:val="14"/>
              </w:rPr>
              <w:t xml:space="preserve"> </w:t>
            </w:r>
            <w:r>
              <w:rPr>
                <w:b/>
                <w:sz w:val="14"/>
              </w:rPr>
              <w:t xml:space="preserve">ed</w:t>
            </w:r>
            <w:r>
              <w:rPr>
                <w:b/>
                <w:spacing w:val="40"/>
                <w:sz w:val="14"/>
              </w:rPr>
              <w:t xml:space="preserve"> </w:t>
            </w:r>
            <w:r>
              <w:rPr>
                <w:b/>
                <w:spacing w:val="-2"/>
                <w:sz w:val="14"/>
              </w:rPr>
              <w:t xml:space="preserve">approvazione</w:t>
            </w:r>
            <w:r>
              <w:rPr>
                <w:b/>
                <w:spacing w:val="40"/>
                <w:sz w:val="14"/>
              </w:rPr>
              <w:t xml:space="preserve"> </w:t>
            </w:r>
            <w:r>
              <w:rPr>
                <w:b/>
                <w:spacing w:val="-2"/>
                <w:sz w:val="14"/>
              </w:rPr>
              <w:t xml:space="preserve">progettazione</w:t>
            </w:r>
            <w:r>
              <w:rPr>
                <w:b/>
                <w:spacing w:val="40"/>
                <w:sz w:val="14"/>
              </w:rPr>
              <w:t xml:space="preserve"> </w:t>
            </w:r>
            <w:r>
              <w:rPr>
                <w:b/>
                <w:sz w:val="14"/>
              </w:rPr>
              <w:t xml:space="preserve">di</w:t>
            </w:r>
            <w:r>
              <w:rPr>
                <w:b/>
                <w:spacing w:val="-8"/>
                <w:sz w:val="14"/>
              </w:rPr>
              <w:t xml:space="preserve"> </w:t>
            </w:r>
            <w:r>
              <w:rPr>
                <w:b/>
                <w:sz w:val="14"/>
              </w:rPr>
              <w:t xml:space="preserve">fattibilità</w:t>
            </w:r>
            <w:r>
              <w:rPr>
                <w:b/>
                <w:spacing w:val="40"/>
                <w:sz w:val="14"/>
              </w:rPr>
              <w:t xml:space="preserve"> </w:t>
            </w:r>
            <w:r>
              <w:rPr>
                <w:b/>
                <w:sz w:val="14"/>
              </w:rPr>
              <w:t xml:space="preserve">tecnico-economica</w:t>
            </w:r>
            <w:r>
              <w:rPr>
                <w:b/>
                <w:spacing w:val="-8"/>
                <w:sz w:val="14"/>
              </w:rPr>
              <w:t xml:space="preserve"> </w:t>
            </w:r>
            <w:r>
              <w:rPr>
                <w:b/>
                <w:sz w:val="14"/>
              </w:rPr>
              <w:t xml:space="preserve">**</w:t>
            </w:r>
            <w:r>
              <w:rPr>
                <w:b/>
                <w:sz w:val="14"/>
              </w:rPr>
            </w:r>
          </w:p>
        </w:tc>
        <w:tc>
          <w:tcPr>
            <w:tcBorders>
              <w:left w:val="single" w:color="000000" w:sz="6" w:space="0"/>
              <w:bottom w:val="single" w:color="000000" w:sz="6" w:space="0"/>
              <w:right w:val="single" w:color="000000" w:sz="6" w:space="0"/>
            </w:tcBorders>
            <w:tcW w:w="1051" w:type="dxa"/>
            <w:textDirection w:val="lrTb"/>
            <w:noWrap w:val="false"/>
          </w:tcPr>
          <w:p>
            <w:pPr>
              <w:pStyle w:val="999"/>
              <w:pBdr/>
              <w:spacing w:before="36"/>
              <w:ind/>
              <w:rPr>
                <w:b/>
                <w:sz w:val="14"/>
              </w:rPr>
            </w:pPr>
            <w:r>
              <w:rPr>
                <w:b/>
                <w:sz w:val="14"/>
              </w:rPr>
            </w:r>
            <w:r>
              <w:rPr>
                <w:b/>
                <w:sz w:val="14"/>
              </w:rPr>
            </w:r>
          </w:p>
          <w:p>
            <w:pPr>
              <w:pStyle w:val="999"/>
              <w:pBdr/>
              <w:spacing/>
              <w:ind w:right="23" w:hanging="1" w:left="197"/>
              <w:jc w:val="center"/>
              <w:rPr>
                <w:b/>
                <w:sz w:val="14"/>
              </w:rPr>
            </w:pPr>
            <w:r>
              <w:rPr>
                <w:b/>
                <w:spacing w:val="-2"/>
                <w:sz w:val="14"/>
              </w:rPr>
              <w:t xml:space="preserve">Espletamento</w:t>
            </w:r>
            <w:r>
              <w:rPr>
                <w:b/>
                <w:spacing w:val="40"/>
                <w:sz w:val="14"/>
              </w:rPr>
              <w:t xml:space="preserve"> </w:t>
            </w:r>
            <w:r>
              <w:rPr>
                <w:b/>
                <w:spacing w:val="-2"/>
                <w:sz w:val="14"/>
              </w:rPr>
              <w:t xml:space="preserve">procedure</w:t>
            </w:r>
            <w:r>
              <w:rPr>
                <w:b/>
                <w:spacing w:val="40"/>
                <w:sz w:val="14"/>
              </w:rPr>
              <w:t xml:space="preserve"> </w:t>
            </w:r>
            <w:r>
              <w:rPr>
                <w:b/>
                <w:sz w:val="14"/>
              </w:rPr>
              <w:t xml:space="preserve">d’appalto</w:t>
            </w:r>
            <w:r>
              <w:rPr>
                <w:b/>
                <w:spacing w:val="-8"/>
                <w:sz w:val="14"/>
              </w:rPr>
              <w:t xml:space="preserve"> </w:t>
            </w:r>
            <w:r>
              <w:rPr>
                <w:b/>
                <w:sz w:val="14"/>
              </w:rPr>
              <w:t xml:space="preserve">per</w:t>
            </w:r>
            <w:r>
              <w:rPr>
                <w:b/>
                <w:spacing w:val="40"/>
                <w:sz w:val="14"/>
              </w:rPr>
              <w:t xml:space="preserve"> </w:t>
            </w:r>
            <w:r>
              <w:rPr>
                <w:b/>
                <w:spacing w:val="-2"/>
                <w:sz w:val="14"/>
              </w:rPr>
              <w:t xml:space="preserve">progettazione</w:t>
            </w:r>
            <w:r>
              <w:rPr>
                <w:b/>
                <w:spacing w:val="40"/>
                <w:sz w:val="14"/>
              </w:rPr>
              <w:t xml:space="preserve"> </w:t>
            </w:r>
            <w:r>
              <w:rPr>
                <w:b/>
                <w:sz w:val="14"/>
              </w:rPr>
              <w:t xml:space="preserve">esecutiva</w:t>
            </w:r>
            <w:r>
              <w:rPr>
                <w:b/>
                <w:spacing w:val="-8"/>
                <w:sz w:val="14"/>
              </w:rPr>
              <w:t xml:space="preserve"> </w:t>
            </w:r>
            <w:r>
              <w:rPr>
                <w:b/>
                <w:sz w:val="14"/>
              </w:rPr>
              <w:t xml:space="preserve">e</w:t>
            </w:r>
            <w:r>
              <w:rPr>
                <w:b/>
                <w:spacing w:val="40"/>
                <w:sz w:val="14"/>
              </w:rPr>
              <w:t xml:space="preserve"> </w:t>
            </w:r>
            <w:r>
              <w:rPr>
                <w:b/>
                <w:spacing w:val="-2"/>
                <w:sz w:val="14"/>
              </w:rPr>
              <w:t xml:space="preserve">lavori</w:t>
            </w:r>
            <w:r>
              <w:rPr>
                <w:b/>
                <w:sz w:val="14"/>
              </w:rPr>
            </w:r>
          </w:p>
        </w:tc>
        <w:tc>
          <w:tcPr>
            <w:tcBorders>
              <w:left w:val="single" w:color="000000" w:sz="6" w:space="0"/>
              <w:bottom w:val="single" w:color="000000" w:sz="6" w:space="0"/>
              <w:right w:val="single" w:color="000000" w:sz="6" w:space="0"/>
            </w:tcBorders>
            <w:tcW w:w="1051" w:type="dxa"/>
            <w:textDirection w:val="lrTb"/>
            <w:noWrap w:val="false"/>
          </w:tcPr>
          <w:p>
            <w:pPr>
              <w:pStyle w:val="999"/>
              <w:pBdr/>
              <w:spacing/>
              <w:ind/>
              <w:rPr>
                <w:b/>
                <w:sz w:val="14"/>
              </w:rPr>
            </w:pPr>
            <w:r>
              <w:rPr>
                <w:b/>
                <w:sz w:val="14"/>
              </w:rPr>
            </w:r>
            <w:r>
              <w:rPr>
                <w:b/>
                <w:sz w:val="14"/>
              </w:rPr>
            </w:r>
          </w:p>
          <w:p>
            <w:pPr>
              <w:pStyle w:val="999"/>
              <w:pBdr/>
              <w:spacing w:before="121"/>
              <w:ind/>
              <w:rPr>
                <w:b/>
                <w:sz w:val="14"/>
              </w:rPr>
            </w:pPr>
            <w:r>
              <w:rPr>
                <w:b/>
                <w:sz w:val="14"/>
              </w:rPr>
            </w:r>
            <w:r>
              <w:rPr>
                <w:b/>
                <w:sz w:val="14"/>
              </w:rPr>
            </w:r>
          </w:p>
          <w:p>
            <w:pPr>
              <w:pStyle w:val="999"/>
              <w:pBdr/>
              <w:spacing w:before="1"/>
              <w:ind w:right="23" w:left="197"/>
              <w:jc w:val="center"/>
              <w:rPr>
                <w:b/>
                <w:sz w:val="14"/>
              </w:rPr>
            </w:pPr>
            <w:r>
              <w:rPr>
                <w:b/>
                <w:spacing w:val="-2"/>
                <w:sz w:val="14"/>
              </w:rPr>
              <w:t xml:space="preserve">Redazione</w:t>
            </w:r>
            <w:r>
              <w:rPr>
                <w:b/>
                <w:spacing w:val="40"/>
                <w:sz w:val="14"/>
              </w:rPr>
              <w:t xml:space="preserve"> </w:t>
            </w:r>
            <w:r>
              <w:rPr>
                <w:b/>
                <w:spacing w:val="-2"/>
                <w:sz w:val="14"/>
              </w:rPr>
              <w:t xml:space="preserve">progettazione</w:t>
            </w:r>
            <w:r>
              <w:rPr>
                <w:b/>
                <w:spacing w:val="40"/>
                <w:sz w:val="14"/>
              </w:rPr>
              <w:t xml:space="preserve"> </w:t>
            </w:r>
            <w:r>
              <w:rPr>
                <w:b/>
                <w:spacing w:val="-2"/>
                <w:sz w:val="14"/>
              </w:rPr>
              <w:t xml:space="preserve">esecutiva</w:t>
            </w:r>
            <w:r>
              <w:rPr>
                <w:b/>
                <w:sz w:val="14"/>
              </w:rPr>
            </w:r>
          </w:p>
        </w:tc>
        <w:tc>
          <w:tcPr>
            <w:tcBorders>
              <w:left w:val="single" w:color="000000" w:sz="6" w:space="0"/>
              <w:bottom w:val="single" w:color="000000" w:sz="6" w:space="0"/>
              <w:right w:val="single" w:color="000000" w:sz="6" w:space="0"/>
            </w:tcBorders>
            <w:tcW w:w="1051" w:type="dxa"/>
            <w:textDirection w:val="lrTb"/>
            <w:noWrap w:val="false"/>
          </w:tcPr>
          <w:p>
            <w:pPr>
              <w:pStyle w:val="999"/>
              <w:pBdr/>
              <w:spacing/>
              <w:ind/>
              <w:rPr>
                <w:b/>
                <w:sz w:val="14"/>
              </w:rPr>
            </w:pPr>
            <w:r>
              <w:rPr>
                <w:b/>
                <w:sz w:val="14"/>
              </w:rPr>
            </w:r>
            <w:r>
              <w:rPr>
                <w:b/>
                <w:sz w:val="14"/>
              </w:rPr>
            </w:r>
          </w:p>
          <w:p>
            <w:pPr>
              <w:pStyle w:val="999"/>
              <w:pBdr/>
              <w:spacing w:before="121"/>
              <w:ind/>
              <w:rPr>
                <w:b/>
                <w:sz w:val="14"/>
              </w:rPr>
            </w:pPr>
            <w:r>
              <w:rPr>
                <w:b/>
                <w:sz w:val="14"/>
              </w:rPr>
            </w:r>
            <w:r>
              <w:rPr>
                <w:b/>
                <w:sz w:val="14"/>
              </w:rPr>
            </w:r>
          </w:p>
          <w:p>
            <w:pPr>
              <w:pStyle w:val="999"/>
              <w:pBdr/>
              <w:spacing w:before="1"/>
              <w:ind w:right="23" w:left="197"/>
              <w:jc w:val="center"/>
              <w:rPr>
                <w:b/>
                <w:sz w:val="14"/>
              </w:rPr>
            </w:pPr>
            <w:r>
              <w:rPr>
                <w:b/>
                <w:spacing w:val="-2"/>
                <w:sz w:val="14"/>
              </w:rPr>
              <w:t xml:space="preserve">Approvazione</w:t>
            </w:r>
            <w:r>
              <w:rPr>
                <w:b/>
                <w:spacing w:val="40"/>
                <w:sz w:val="14"/>
              </w:rPr>
              <w:t xml:space="preserve"> </w:t>
            </w:r>
            <w:r>
              <w:rPr>
                <w:b/>
                <w:spacing w:val="-2"/>
                <w:sz w:val="14"/>
              </w:rPr>
              <w:t xml:space="preserve">progettazione</w:t>
            </w:r>
            <w:r>
              <w:rPr>
                <w:b/>
                <w:spacing w:val="40"/>
                <w:sz w:val="14"/>
              </w:rPr>
              <w:t xml:space="preserve"> </w:t>
            </w:r>
            <w:r>
              <w:rPr>
                <w:b/>
                <w:spacing w:val="-2"/>
                <w:sz w:val="14"/>
              </w:rPr>
              <w:t xml:space="preserve">esecutiva</w:t>
            </w:r>
            <w:r>
              <w:rPr>
                <w:b/>
                <w:sz w:val="14"/>
              </w:rPr>
            </w:r>
          </w:p>
        </w:tc>
        <w:tc>
          <w:tcPr>
            <w:tcBorders>
              <w:left w:val="single" w:color="000000" w:sz="6" w:space="0"/>
              <w:bottom w:val="single" w:color="000000" w:sz="6" w:space="0"/>
              <w:right w:val="single" w:color="000000" w:sz="6" w:space="0"/>
            </w:tcBorders>
            <w:tcW w:w="764"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36"/>
              <w:ind/>
              <w:rPr>
                <w:b/>
                <w:sz w:val="14"/>
              </w:rPr>
            </w:pPr>
            <w:r>
              <w:rPr>
                <w:b/>
                <w:sz w:val="14"/>
              </w:rPr>
            </w:r>
            <w:r>
              <w:rPr>
                <w:b/>
                <w:sz w:val="14"/>
              </w:rPr>
            </w:r>
          </w:p>
          <w:p>
            <w:pPr>
              <w:pStyle w:val="999"/>
              <w:pBdr/>
              <w:spacing/>
              <w:ind w:right="4" w:hanging="101" w:left="280"/>
              <w:rPr>
                <w:b/>
                <w:sz w:val="14"/>
              </w:rPr>
            </w:pPr>
            <w:r>
              <w:rPr>
                <w:b/>
                <w:spacing w:val="-2"/>
                <w:sz w:val="14"/>
              </w:rPr>
              <w:t xml:space="preserve">Consegna</w:t>
            </w:r>
            <w:r>
              <w:rPr>
                <w:b/>
                <w:spacing w:val="40"/>
                <w:sz w:val="14"/>
              </w:rPr>
              <w:t xml:space="preserve"> </w:t>
            </w:r>
            <w:r>
              <w:rPr>
                <w:b/>
                <w:spacing w:val="-2"/>
                <w:sz w:val="14"/>
              </w:rPr>
              <w:t xml:space="preserve">lavori</w:t>
            </w:r>
            <w:r>
              <w:rPr>
                <w:b/>
                <w:sz w:val="14"/>
              </w:rPr>
            </w:r>
          </w:p>
        </w:tc>
        <w:tc>
          <w:tcPr>
            <w:tcBorders>
              <w:left w:val="single" w:color="000000" w:sz="6" w:space="0"/>
              <w:bottom w:val="single" w:color="000000" w:sz="6" w:space="0"/>
              <w:right w:val="single" w:color="000000" w:sz="6" w:space="0"/>
            </w:tcBorders>
            <w:tcW w:w="852"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36"/>
              <w:ind/>
              <w:rPr>
                <w:b/>
                <w:sz w:val="14"/>
              </w:rPr>
            </w:pPr>
            <w:r>
              <w:rPr>
                <w:b/>
                <w:sz w:val="14"/>
              </w:rPr>
            </w:r>
            <w:r>
              <w:rPr>
                <w:b/>
                <w:sz w:val="14"/>
              </w:rPr>
            </w:r>
          </w:p>
          <w:p>
            <w:pPr>
              <w:pStyle w:val="999"/>
              <w:pBdr/>
              <w:spacing/>
              <w:ind w:hanging="140" w:left="324"/>
              <w:rPr>
                <w:b/>
                <w:sz w:val="14"/>
              </w:rPr>
            </w:pPr>
            <w:r>
              <w:rPr>
                <w:b/>
                <w:spacing w:val="-2"/>
                <w:sz w:val="14"/>
              </w:rPr>
              <w:t xml:space="preserve">Esecuzione</w:t>
            </w:r>
            <w:r>
              <w:rPr>
                <w:b/>
                <w:spacing w:val="40"/>
                <w:sz w:val="14"/>
              </w:rPr>
              <w:t xml:space="preserve"> </w:t>
            </w:r>
            <w:r>
              <w:rPr>
                <w:b/>
                <w:spacing w:val="-2"/>
                <w:sz w:val="14"/>
              </w:rPr>
              <w:t xml:space="preserve">lavori</w:t>
            </w:r>
            <w:r>
              <w:rPr>
                <w:b/>
                <w:sz w:val="14"/>
              </w:rPr>
            </w:r>
          </w:p>
        </w:tc>
        <w:tc>
          <w:tcPr>
            <w:tcBorders>
              <w:left w:val="single" w:color="000000" w:sz="6" w:space="0"/>
              <w:bottom w:val="single" w:color="000000" w:sz="6" w:space="0"/>
              <w:right w:val="single" w:color="000000" w:sz="6" w:space="0"/>
            </w:tcBorders>
            <w:tcW w:w="708"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36"/>
              <w:ind/>
              <w:rPr>
                <w:b/>
                <w:sz w:val="14"/>
              </w:rPr>
            </w:pPr>
            <w:r>
              <w:rPr>
                <w:b/>
                <w:sz w:val="14"/>
              </w:rPr>
            </w:r>
            <w:r>
              <w:rPr>
                <w:b/>
                <w:sz w:val="14"/>
              </w:rPr>
            </w:r>
          </w:p>
          <w:p>
            <w:pPr>
              <w:pStyle w:val="999"/>
              <w:pBdr/>
              <w:spacing/>
              <w:ind w:hanging="76" w:left="252"/>
              <w:rPr>
                <w:b/>
                <w:sz w:val="14"/>
              </w:rPr>
            </w:pPr>
            <w:r>
              <w:rPr>
                <w:b/>
                <w:spacing w:val="-2"/>
                <w:sz w:val="14"/>
              </w:rPr>
              <w:t xml:space="preserve">Collaudo</w:t>
            </w:r>
            <w:r>
              <w:rPr>
                <w:b/>
                <w:spacing w:val="40"/>
                <w:sz w:val="14"/>
              </w:rPr>
              <w:t xml:space="preserve"> </w:t>
            </w:r>
            <w:r>
              <w:rPr>
                <w:b/>
                <w:spacing w:val="-2"/>
                <w:sz w:val="14"/>
              </w:rPr>
              <w:t xml:space="preserve">lavori</w:t>
            </w:r>
            <w:r>
              <w:rPr>
                <w:b/>
                <w:sz w:val="14"/>
              </w:rPr>
            </w:r>
          </w:p>
        </w:tc>
        <w:tc>
          <w:tcPr>
            <w:tcBorders>
              <w:left w:val="single" w:color="000000" w:sz="6" w:space="0"/>
              <w:bottom w:val="single" w:color="000000" w:sz="6" w:space="0"/>
              <w:right w:val="single" w:color="000000" w:sz="6" w:space="0"/>
            </w:tcBorders>
            <w:tcW w:w="1230"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36"/>
              <w:ind/>
              <w:rPr>
                <w:b/>
                <w:sz w:val="14"/>
              </w:rPr>
            </w:pPr>
            <w:r>
              <w:rPr>
                <w:b/>
                <w:sz w:val="14"/>
              </w:rPr>
            </w:r>
            <w:r>
              <w:rPr>
                <w:b/>
                <w:sz w:val="14"/>
              </w:rPr>
            </w:r>
          </w:p>
          <w:p>
            <w:pPr>
              <w:pStyle w:val="999"/>
              <w:pBdr/>
              <w:spacing/>
              <w:ind w:hanging="306" w:left="513"/>
              <w:rPr>
                <w:b/>
                <w:sz w:val="14"/>
              </w:rPr>
            </w:pPr>
            <w:r>
              <w:rPr>
                <w:b/>
                <w:spacing w:val="-2"/>
                <w:sz w:val="14"/>
              </w:rPr>
              <w:t xml:space="preserve">Rendicontazione</w:t>
            </w:r>
            <w:r>
              <w:rPr>
                <w:b/>
                <w:spacing w:val="40"/>
                <w:sz w:val="14"/>
              </w:rPr>
              <w:t xml:space="preserve"> </w:t>
            </w:r>
            <w:r>
              <w:rPr>
                <w:b/>
                <w:spacing w:val="-2"/>
                <w:sz w:val="14"/>
              </w:rPr>
              <w:t xml:space="preserve">finale</w:t>
            </w:r>
            <w:r>
              <w:rPr>
                <w:b/>
                <w:sz w:val="14"/>
              </w:rPr>
            </w:r>
          </w:p>
        </w:tc>
        <w:tc>
          <w:tcPr>
            <w:tcBorders>
              <w:left w:val="single" w:color="000000" w:sz="6" w:space="0"/>
              <w:bottom w:val="single" w:color="000000" w:sz="6" w:space="0"/>
            </w:tcBorders>
            <w:tcW w:w="580"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36"/>
              <w:ind/>
              <w:rPr>
                <w:b/>
                <w:sz w:val="14"/>
              </w:rPr>
            </w:pPr>
            <w:r>
              <w:rPr>
                <w:b/>
                <w:sz w:val="14"/>
              </w:rPr>
            </w:r>
            <w:r>
              <w:rPr>
                <w:b/>
                <w:sz w:val="14"/>
              </w:rPr>
            </w:r>
          </w:p>
          <w:p>
            <w:pPr>
              <w:pStyle w:val="999"/>
              <w:pBdr/>
              <w:spacing/>
              <w:ind w:right="1" w:firstLine="13" w:left="168"/>
              <w:rPr>
                <w:b/>
                <w:sz w:val="14"/>
              </w:rPr>
            </w:pPr>
            <w:r>
              <w:rPr>
                <w:b/>
                <w:spacing w:val="-2"/>
                <w:sz w:val="14"/>
              </w:rPr>
              <w:t xml:space="preserve">Totale</w:t>
            </w:r>
            <w:r>
              <w:rPr>
                <w:b/>
                <w:spacing w:val="40"/>
                <w:sz w:val="14"/>
              </w:rPr>
              <w:t xml:space="preserve"> </w:t>
            </w:r>
            <w:r>
              <w:rPr>
                <w:b/>
                <w:spacing w:val="-2"/>
                <w:sz w:val="14"/>
              </w:rPr>
              <w:t xml:space="preserve">(mesi)</w:t>
            </w:r>
            <w:r>
              <w:rPr>
                <w:b/>
                <w:sz w:val="14"/>
              </w:rPr>
            </w:r>
          </w:p>
        </w:tc>
      </w:tr>
      <w:tr>
        <w:trPr>
          <w:trHeight w:val="676"/>
        </w:trPr>
        <w:tc>
          <w:tcPr>
            <w:tcBorders>
              <w:top w:val="single" w:color="000000" w:sz="6" w:space="0"/>
              <w:right w:val="single" w:color="000000" w:sz="6" w:space="0"/>
            </w:tcBorders>
            <w:tcW w:w="1173" w:type="dxa"/>
            <w:textDirection w:val="lrTb"/>
            <w:noWrap w:val="false"/>
          </w:tcPr>
          <w:p>
            <w:pPr>
              <w:pStyle w:val="999"/>
              <w:pBdr/>
              <w:spacing w:line="170" w:lineRule="atLeast"/>
              <w:ind w:right="169" w:hanging="48" w:left="394"/>
              <w:rPr>
                <w:b/>
                <w:sz w:val="14"/>
              </w:rPr>
            </w:pPr>
            <w:r>
              <w:rPr>
                <w:b/>
                <w:spacing w:val="-2"/>
                <w:sz w:val="14"/>
              </w:rPr>
              <w:t xml:space="preserve">Tempistica</w:t>
            </w:r>
            <w:r>
              <w:rPr>
                <w:b/>
                <w:spacing w:val="40"/>
                <w:sz w:val="14"/>
              </w:rPr>
              <w:t xml:space="preserve"> </w:t>
            </w:r>
            <w:r>
              <w:rPr>
                <w:b/>
                <w:spacing w:val="-2"/>
                <w:sz w:val="14"/>
              </w:rPr>
              <w:t xml:space="preserve">massima</w:t>
            </w:r>
            <w:r>
              <w:rPr>
                <w:b/>
                <w:spacing w:val="40"/>
                <w:sz w:val="14"/>
              </w:rPr>
              <w:t xml:space="preserve"> </w:t>
            </w:r>
            <w:r>
              <w:rPr>
                <w:b/>
                <w:spacing w:val="-2"/>
                <w:sz w:val="14"/>
              </w:rPr>
              <w:t xml:space="preserve">prevista</w:t>
            </w:r>
            <w:r>
              <w:rPr>
                <w:b/>
                <w:spacing w:val="40"/>
                <w:sz w:val="14"/>
              </w:rPr>
              <w:t xml:space="preserve"> </w:t>
            </w:r>
            <w:r>
              <w:rPr>
                <w:b/>
                <w:sz w:val="14"/>
              </w:rPr>
              <w:t xml:space="preserve">(in</w:t>
            </w:r>
            <w:r>
              <w:rPr>
                <w:b/>
                <w:spacing w:val="-8"/>
                <w:sz w:val="14"/>
              </w:rPr>
              <w:t xml:space="preserve"> </w:t>
            </w:r>
            <w:r>
              <w:rPr>
                <w:b/>
                <w:sz w:val="14"/>
              </w:rPr>
              <w:t xml:space="preserve">mesi)</w:t>
            </w:r>
            <w:r>
              <w:rPr>
                <w:b/>
                <w:sz w:val="14"/>
              </w:rPr>
            </w:r>
          </w:p>
        </w:tc>
        <w:tc>
          <w:tcPr>
            <w:tcBorders>
              <w:top w:val="single" w:color="000000" w:sz="6" w:space="0"/>
              <w:left w:val="single" w:color="000000" w:sz="6" w:space="0"/>
              <w:right w:val="single" w:color="000000" w:sz="6" w:space="0"/>
            </w:tcBorders>
            <w:tcW w:w="105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05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05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05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764"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852"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708"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230"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op w:val="single" w:color="000000" w:sz="6" w:space="0"/>
              <w:left w:val="single" w:color="000000" w:sz="6" w:space="0"/>
            </w:tcBorders>
            <w:tcW w:w="580"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r>
    </w:tbl>
    <w:p>
      <w:pPr>
        <w:pStyle w:val="997"/>
        <w:pBdr/>
        <w:spacing w:before="15"/>
        <w:ind/>
        <w:rPr>
          <w:b/>
        </w:rPr>
      </w:pPr>
      <w:r>
        <w:rPr>
          <w:b/>
        </w:rPr>
      </w:r>
      <w:r>
        <w:rPr>
          <w:b/>
        </w:rPr>
      </w:r>
    </w:p>
    <w:p>
      <w:pPr>
        <w:pStyle w:val="997"/>
        <w:pBdr/>
        <w:spacing/>
        <w:ind w:right="147" w:left="283"/>
        <w:rPr/>
      </w:pPr>
      <w:r>
        <w:t xml:space="preserve">**</w:t>
      </w:r>
      <w:r>
        <w:rPr>
          <w:spacing w:val="-4"/>
        </w:rPr>
        <w:t xml:space="preserve"> </w:t>
      </w:r>
      <w:r>
        <w:t xml:space="preserve">se</w:t>
      </w:r>
      <w:r>
        <w:rPr>
          <w:spacing w:val="-4"/>
        </w:rPr>
        <w:t xml:space="preserve"> </w:t>
      </w:r>
      <w:r>
        <w:t xml:space="preserve">provvedimento</w:t>
      </w:r>
      <w:r>
        <w:rPr>
          <w:spacing w:val="-4"/>
        </w:rPr>
        <w:t xml:space="preserve"> </w:t>
      </w:r>
      <w:r>
        <w:t xml:space="preserve">di</w:t>
      </w:r>
      <w:r>
        <w:rPr>
          <w:spacing w:val="-4"/>
        </w:rPr>
        <w:t xml:space="preserve"> </w:t>
      </w:r>
      <w:r>
        <w:t xml:space="preserve">finanziamento</w:t>
      </w:r>
      <w:r>
        <w:rPr>
          <w:spacing w:val="-4"/>
        </w:rPr>
        <w:t xml:space="preserve"> </w:t>
      </w:r>
      <w:r>
        <w:t xml:space="preserve">emesso</w:t>
      </w:r>
      <w:r>
        <w:rPr>
          <w:spacing w:val="-4"/>
        </w:rPr>
        <w:t xml:space="preserve"> </w:t>
      </w:r>
      <w:r>
        <w:t xml:space="preserve">su</w:t>
      </w:r>
      <w:r>
        <w:rPr>
          <w:spacing w:val="-4"/>
        </w:rPr>
        <w:t xml:space="preserve"> </w:t>
      </w:r>
      <w:r>
        <w:t xml:space="preserve">progetto</w:t>
      </w:r>
      <w:r>
        <w:rPr>
          <w:spacing w:val="-4"/>
        </w:rPr>
        <w:t xml:space="preserve"> </w:t>
      </w:r>
      <w:r>
        <w:t xml:space="preserve">di</w:t>
      </w:r>
      <w:r>
        <w:rPr>
          <w:spacing w:val="-4"/>
        </w:rPr>
        <w:t xml:space="preserve"> </w:t>
      </w:r>
      <w:r>
        <w:t xml:space="preserve">fattibilità</w:t>
      </w:r>
      <w:r>
        <w:rPr>
          <w:spacing w:val="-4"/>
        </w:rPr>
        <w:t xml:space="preserve"> </w:t>
      </w:r>
      <w:r>
        <w:t xml:space="preserve">tecnica</w:t>
      </w:r>
      <w:r>
        <w:rPr>
          <w:spacing w:val="-4"/>
        </w:rPr>
        <w:t xml:space="preserve"> </w:t>
      </w:r>
      <w:r>
        <w:t xml:space="preserve">ed</w:t>
      </w:r>
      <w:r>
        <w:rPr>
          <w:spacing w:val="-4"/>
        </w:rPr>
        <w:t xml:space="preserve"> </w:t>
      </w:r>
      <w:r>
        <w:t xml:space="preserve">economica</w:t>
      </w:r>
      <w:r>
        <w:rPr>
          <w:spacing w:val="-4"/>
        </w:rPr>
        <w:t xml:space="preserve"> </w:t>
      </w:r>
      <w:r>
        <w:t xml:space="preserve">valorizzare</w:t>
      </w:r>
      <w:r>
        <w:rPr>
          <w:spacing w:val="-4"/>
        </w:rPr>
        <w:t xml:space="preserve"> </w:t>
      </w:r>
      <w:r>
        <w:t xml:space="preserve">i campi successivi ad “espletamento procedure d’appalto per progettazione esecutiva e lavori”.</w:t>
      </w:r>
      <w:r/>
    </w:p>
    <w:p>
      <w:pPr>
        <w:pStyle w:val="997"/>
        <w:pBdr/>
        <w:spacing/>
        <w:ind/>
        <w:rPr/>
      </w:pPr>
      <w:r/>
      <w:r/>
    </w:p>
    <w:p>
      <w:pPr>
        <w:pStyle w:val="997"/>
        <w:pBdr/>
        <w:spacing w:before="24"/>
        <w:ind/>
        <w:rPr/>
      </w:pPr>
      <w:r/>
      <w:r/>
    </w:p>
    <w:p>
      <w:pPr>
        <w:pStyle w:val="794"/>
        <w:pBdr/>
        <w:spacing/>
        <w:ind w:left="283"/>
        <w:rPr/>
      </w:pPr>
      <w:r>
        <w:t xml:space="preserve">Cronoprogramma</w:t>
      </w:r>
      <w:r>
        <w:rPr>
          <w:spacing w:val="-5"/>
        </w:rPr>
        <w:t xml:space="preserve"> </w:t>
      </w:r>
      <w:r>
        <w:t xml:space="preserve">da</w:t>
      </w:r>
      <w:r>
        <w:rPr>
          <w:spacing w:val="-5"/>
        </w:rPr>
        <w:t xml:space="preserve"> </w:t>
      </w:r>
      <w:r>
        <w:t xml:space="preserve">adottare</w:t>
      </w:r>
      <w:r>
        <w:rPr>
          <w:spacing w:val="-5"/>
        </w:rPr>
        <w:t xml:space="preserve"> </w:t>
      </w:r>
      <w:r>
        <w:t xml:space="preserve">per</w:t>
      </w:r>
      <w:r>
        <w:rPr>
          <w:spacing w:val="-5"/>
        </w:rPr>
        <w:t xml:space="preserve"> </w:t>
      </w:r>
      <w:r>
        <w:t xml:space="preserve">tipologia</w:t>
      </w:r>
      <w:r>
        <w:rPr>
          <w:spacing w:val="-5"/>
        </w:rPr>
        <w:t xml:space="preserve"> </w:t>
      </w:r>
      <w:r>
        <w:t xml:space="preserve">Acquisizione</w:t>
      </w:r>
      <w:r>
        <w:rPr>
          <w:spacing w:val="-5"/>
        </w:rPr>
        <w:t xml:space="preserve"> </w:t>
      </w:r>
      <w:r>
        <w:t xml:space="preserve">di</w:t>
      </w:r>
      <w:r>
        <w:rPr>
          <w:spacing w:val="-5"/>
        </w:rPr>
        <w:t xml:space="preserve"> </w:t>
      </w:r>
      <w:r>
        <w:t xml:space="preserve">beni</w:t>
      </w:r>
      <w:r>
        <w:rPr>
          <w:spacing w:val="-5"/>
        </w:rPr>
        <w:t xml:space="preserve"> </w:t>
      </w:r>
      <w:r>
        <w:t xml:space="preserve">o</w:t>
      </w:r>
      <w:r>
        <w:rPr>
          <w:spacing w:val="-5"/>
        </w:rPr>
        <w:t xml:space="preserve"> </w:t>
      </w:r>
      <w:r>
        <w:t xml:space="preserve">servizi</w:t>
      </w:r>
      <w:r>
        <w:rPr>
          <w:spacing w:val="-4"/>
        </w:rPr>
        <w:t xml:space="preserve"> </w:t>
      </w:r>
      <w:r>
        <w:rPr>
          <w:spacing w:val="-10"/>
        </w:rPr>
        <w:t xml:space="preserve">:</w:t>
      </w:r>
      <w:r/>
    </w:p>
    <w:p>
      <w:pPr>
        <w:pStyle w:val="997"/>
        <w:pBdr/>
        <w:spacing w:before="34"/>
        <w:ind/>
        <w:rPr>
          <w:b/>
          <w:sz w:val="20"/>
        </w:rPr>
      </w:pPr>
      <w:r>
        <w:rPr>
          <w:b/>
          <w:sz w:val="20"/>
        </w:rPr>
      </w:r>
      <w:r>
        <w:rPr>
          <w:b/>
          <w:sz w:val="20"/>
        </w:rPr>
      </w:r>
    </w:p>
    <w:tbl>
      <w:tblPr>
        <w:tblW w:w="0" w:type="auto"/>
        <w:tblInd w:w="276"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left w:w="0" w:type="dxa"/>
          <w:right w:w="0" w:type="dxa"/>
        </w:tblCellMar>
        <w:tblLook w:val="01E0" w:firstRow="1" w:lastRow="1" w:firstColumn="1" w:lastColumn="1" w:noHBand="0" w:noVBand="0"/>
      </w:tblPr>
      <w:tblGrid>
        <w:gridCol w:w="1173"/>
        <w:gridCol w:w="1077"/>
        <w:gridCol w:w="964"/>
        <w:gridCol w:w="1482"/>
        <w:gridCol w:w="1128"/>
        <w:gridCol w:w="3695"/>
      </w:tblGrid>
      <w:tr>
        <w:trPr>
          <w:trHeight w:val="1374"/>
        </w:trPr>
        <w:tc>
          <w:tcPr>
            <w:shd w:val="clear" w:color="auto" w:fill="bdd6ed"/>
            <w:tcBorders>
              <w:bottom w:val="single" w:color="000000" w:sz="6" w:space="0"/>
              <w:right w:val="single" w:color="000000" w:sz="6" w:space="0"/>
            </w:tcBorders>
            <w:tcW w:w="1173" w:type="dxa"/>
            <w:textDirection w:val="lrTb"/>
            <w:noWrap w:val="false"/>
          </w:tcPr>
          <w:p>
            <w:pPr>
              <w:pStyle w:val="999"/>
              <w:pBdr/>
              <w:spacing/>
              <w:ind/>
              <w:rPr>
                <w:b/>
                <w:sz w:val="14"/>
              </w:rPr>
            </w:pPr>
            <w:r>
              <w:rPr>
                <w:b/>
                <w:sz w:val="14"/>
              </w:rPr>
            </w:r>
            <w:r>
              <w:rPr>
                <w:b/>
                <w:sz w:val="14"/>
              </w:rPr>
            </w:r>
          </w:p>
          <w:p>
            <w:pPr>
              <w:pStyle w:val="999"/>
              <w:pBdr/>
              <w:spacing w:before="100"/>
              <w:ind/>
              <w:rPr>
                <w:b/>
                <w:sz w:val="14"/>
              </w:rPr>
            </w:pPr>
            <w:r>
              <w:rPr>
                <w:b/>
                <w:sz w:val="14"/>
              </w:rPr>
            </w:r>
            <w:r>
              <w:rPr>
                <w:b/>
                <w:sz w:val="14"/>
              </w:rPr>
            </w:r>
          </w:p>
          <w:p>
            <w:pPr>
              <w:pStyle w:val="999"/>
              <w:pBdr/>
              <w:spacing/>
              <w:ind w:right="128" w:firstLine="40" w:left="157"/>
              <w:jc w:val="both"/>
              <w:rPr>
                <w:b/>
                <w:sz w:val="14"/>
              </w:rPr>
            </w:pPr>
            <w:r>
              <w:rPr>
                <w:b/>
                <w:spacing w:val="-2"/>
                <w:sz w:val="14"/>
              </w:rPr>
              <w:t xml:space="preserve">Sottoscrizione</w:t>
            </w:r>
            <w:r>
              <w:rPr>
                <w:b/>
                <w:spacing w:val="40"/>
                <w:sz w:val="14"/>
              </w:rPr>
              <w:t xml:space="preserve"> </w:t>
            </w:r>
            <w:r>
              <w:rPr>
                <w:b/>
                <w:sz w:val="14"/>
              </w:rPr>
              <w:t xml:space="preserve">disciplinare</w:t>
            </w:r>
            <w:r>
              <w:rPr>
                <w:b/>
                <w:spacing w:val="-8"/>
                <w:sz w:val="14"/>
              </w:rPr>
              <w:t xml:space="preserve"> </w:t>
            </w:r>
            <w:r>
              <w:rPr>
                <w:b/>
                <w:sz w:val="14"/>
              </w:rPr>
              <w:t xml:space="preserve">di</w:t>
            </w:r>
            <w:r>
              <w:rPr>
                <w:b/>
                <w:spacing w:val="40"/>
                <w:sz w:val="14"/>
              </w:rPr>
              <w:t xml:space="preserve"> </w:t>
            </w:r>
            <w:r>
              <w:rPr>
                <w:b/>
                <w:spacing w:val="-2"/>
                <w:sz w:val="14"/>
              </w:rPr>
              <w:t xml:space="preserve">finanziamento</w:t>
            </w:r>
            <w:r>
              <w:rPr>
                <w:b/>
                <w:sz w:val="14"/>
              </w:rPr>
            </w:r>
          </w:p>
        </w:tc>
        <w:tc>
          <w:tcPr>
            <w:tcBorders>
              <w:left w:val="single" w:color="000000" w:sz="6" w:space="0"/>
              <w:bottom w:val="single" w:color="000000" w:sz="6" w:space="0"/>
              <w:right w:val="single" w:color="000000" w:sz="6" w:space="0"/>
            </w:tcBorders>
            <w:tcW w:w="1077" w:type="dxa"/>
            <w:textDirection w:val="lrTb"/>
            <w:noWrap w:val="false"/>
          </w:tcPr>
          <w:p>
            <w:pPr>
              <w:pStyle w:val="999"/>
              <w:pBdr/>
              <w:spacing w:line="170" w:lineRule="atLeast"/>
              <w:ind w:right="-29" w:hanging="1" w:left="157"/>
              <w:jc w:val="center"/>
              <w:rPr>
                <w:b/>
                <w:sz w:val="14"/>
              </w:rPr>
            </w:pPr>
            <w:r>
              <w:rPr>
                <w:b/>
                <w:spacing w:val="-2"/>
                <w:sz w:val="14"/>
              </w:rPr>
              <w:t xml:space="preserve">Espletamento</w:t>
            </w:r>
            <w:r>
              <w:rPr>
                <w:b/>
                <w:spacing w:val="40"/>
                <w:sz w:val="14"/>
              </w:rPr>
              <w:t xml:space="preserve"> </w:t>
            </w:r>
            <w:r>
              <w:rPr>
                <w:b/>
                <w:sz w:val="14"/>
              </w:rPr>
              <w:t xml:space="preserve">procedure</w:t>
            </w:r>
            <w:r>
              <w:rPr>
                <w:b/>
                <w:spacing w:val="-8"/>
                <w:sz w:val="14"/>
              </w:rPr>
              <w:t xml:space="preserve"> </w:t>
            </w:r>
            <w:r>
              <w:rPr>
                <w:b/>
                <w:sz w:val="14"/>
              </w:rPr>
              <w:t xml:space="preserve">di</w:t>
            </w:r>
            <w:r>
              <w:rPr>
                <w:b/>
                <w:spacing w:val="40"/>
                <w:sz w:val="14"/>
              </w:rPr>
              <w:t xml:space="preserve"> </w:t>
            </w:r>
            <w:r>
              <w:rPr>
                <w:b/>
                <w:spacing w:val="-2"/>
                <w:sz w:val="14"/>
              </w:rPr>
              <w:t xml:space="preserve">evidenza</w:t>
            </w:r>
            <w:r>
              <w:rPr>
                <w:b/>
                <w:spacing w:val="40"/>
                <w:sz w:val="14"/>
              </w:rPr>
              <w:t xml:space="preserve"> </w:t>
            </w:r>
            <w:r>
              <w:rPr>
                <w:b/>
                <w:sz w:val="14"/>
              </w:rPr>
              <w:t xml:space="preserve">pubblica</w:t>
            </w:r>
            <w:r>
              <w:rPr>
                <w:b/>
                <w:spacing w:val="-8"/>
                <w:sz w:val="14"/>
              </w:rPr>
              <w:t xml:space="preserve"> </w:t>
            </w:r>
            <w:r>
              <w:rPr>
                <w:b/>
                <w:sz w:val="14"/>
              </w:rPr>
              <w:t xml:space="preserve">per</w:t>
            </w:r>
            <w:r>
              <w:rPr>
                <w:b/>
                <w:spacing w:val="40"/>
                <w:sz w:val="14"/>
              </w:rPr>
              <w:t xml:space="preserve"> </w:t>
            </w:r>
            <w:r>
              <w:rPr>
                <w:b/>
                <w:spacing w:val="-2"/>
                <w:sz w:val="14"/>
              </w:rPr>
              <w:t xml:space="preserve">l’individuazione</w:t>
            </w:r>
            <w:r>
              <w:rPr>
                <w:b/>
                <w:spacing w:val="40"/>
                <w:sz w:val="14"/>
              </w:rPr>
              <w:t xml:space="preserve"> </w:t>
            </w:r>
            <w:r>
              <w:rPr>
                <w:b/>
                <w:sz w:val="14"/>
              </w:rPr>
              <w:t xml:space="preserve">del</w:t>
            </w:r>
            <w:r>
              <w:rPr>
                <w:b/>
                <w:spacing w:val="-8"/>
                <w:sz w:val="14"/>
              </w:rPr>
              <w:t xml:space="preserve"> </w:t>
            </w:r>
            <w:r>
              <w:rPr>
                <w:b/>
                <w:sz w:val="14"/>
              </w:rPr>
              <w:t xml:space="preserve">soggetto</w:t>
            </w:r>
            <w:r>
              <w:rPr>
                <w:b/>
                <w:spacing w:val="40"/>
                <w:sz w:val="14"/>
              </w:rPr>
              <w:t xml:space="preserve"> </w:t>
            </w:r>
            <w:r>
              <w:rPr>
                <w:b/>
                <w:sz w:val="14"/>
              </w:rPr>
              <w:t xml:space="preserve">incaricato</w:t>
            </w:r>
            <w:r>
              <w:rPr>
                <w:b/>
                <w:spacing w:val="-8"/>
                <w:sz w:val="14"/>
              </w:rPr>
              <w:t xml:space="preserve"> </w:t>
            </w:r>
            <w:r>
              <w:rPr>
                <w:b/>
                <w:sz w:val="14"/>
              </w:rPr>
              <w:t xml:space="preserve">della</w:t>
            </w:r>
            <w:r>
              <w:rPr>
                <w:b/>
                <w:spacing w:val="40"/>
                <w:sz w:val="14"/>
              </w:rPr>
              <w:t xml:space="preserve"> </w:t>
            </w:r>
            <w:r>
              <w:rPr>
                <w:b/>
                <w:sz w:val="14"/>
              </w:rPr>
              <w:t xml:space="preserve">fornitura</w:t>
            </w:r>
            <w:r>
              <w:rPr>
                <w:b/>
                <w:spacing w:val="-8"/>
                <w:sz w:val="14"/>
              </w:rPr>
              <w:t xml:space="preserve"> </w:t>
            </w:r>
            <w:r>
              <w:rPr>
                <w:b/>
                <w:sz w:val="14"/>
              </w:rPr>
              <w:t xml:space="preserve">del</w:t>
            </w:r>
            <w:r>
              <w:rPr>
                <w:b/>
                <w:sz w:val="14"/>
              </w:rPr>
            </w:r>
          </w:p>
        </w:tc>
        <w:tc>
          <w:tcPr>
            <w:tcBorders>
              <w:left w:val="single" w:color="000000" w:sz="6" w:space="0"/>
              <w:bottom w:val="single" w:color="000000" w:sz="6" w:space="0"/>
              <w:right w:val="single" w:color="000000" w:sz="6" w:space="0"/>
            </w:tcBorders>
            <w:tcW w:w="964" w:type="dxa"/>
            <w:textDirection w:val="lrTb"/>
            <w:noWrap w:val="false"/>
          </w:tcPr>
          <w:p>
            <w:pPr>
              <w:pStyle w:val="999"/>
              <w:pBdr/>
              <w:spacing w:before="100"/>
              <w:ind/>
              <w:rPr>
                <w:b/>
                <w:sz w:val="14"/>
              </w:rPr>
            </w:pPr>
            <w:r>
              <w:rPr>
                <w:b/>
                <w:sz w:val="14"/>
              </w:rPr>
            </w:r>
            <w:r>
              <w:rPr>
                <w:b/>
                <w:sz w:val="14"/>
              </w:rPr>
            </w:r>
          </w:p>
          <w:p>
            <w:pPr>
              <w:pStyle w:val="999"/>
              <w:pBdr/>
              <w:spacing/>
              <w:ind w:right="-29" w:left="157"/>
              <w:jc w:val="center"/>
              <w:rPr>
                <w:b/>
                <w:sz w:val="14"/>
              </w:rPr>
            </w:pPr>
            <w:r>
              <w:rPr>
                <w:b/>
                <w:spacing w:val="-2"/>
                <w:sz w:val="14"/>
              </w:rPr>
              <w:t xml:space="preserve">Acquisizione</w:t>
            </w:r>
            <w:r>
              <w:rPr>
                <w:b/>
                <w:spacing w:val="40"/>
                <w:sz w:val="14"/>
              </w:rPr>
              <w:t xml:space="preserve"> </w:t>
            </w:r>
            <w:r>
              <w:rPr>
                <w:b/>
                <w:spacing w:val="-4"/>
                <w:sz w:val="14"/>
              </w:rPr>
              <w:t xml:space="preserve">beni</w:t>
            </w:r>
            <w:r>
              <w:rPr>
                <w:b/>
                <w:spacing w:val="80"/>
                <w:sz w:val="14"/>
              </w:rPr>
              <w:t xml:space="preserve"> </w:t>
            </w:r>
            <w:r>
              <w:rPr>
                <w:b/>
                <w:sz w:val="14"/>
              </w:rPr>
              <w:t xml:space="preserve">finanziati</w:t>
            </w:r>
            <w:r>
              <w:rPr>
                <w:b/>
                <w:spacing w:val="-8"/>
                <w:sz w:val="14"/>
              </w:rPr>
              <w:t xml:space="preserve"> </w:t>
            </w:r>
            <w:r>
              <w:rPr>
                <w:b/>
                <w:sz w:val="14"/>
              </w:rPr>
              <w:t xml:space="preserve">/</w:t>
            </w:r>
            <w:r>
              <w:rPr>
                <w:b/>
                <w:spacing w:val="40"/>
                <w:sz w:val="14"/>
              </w:rPr>
              <w:t xml:space="preserve"> </w:t>
            </w:r>
            <w:r>
              <w:rPr>
                <w:b/>
                <w:spacing w:val="-2"/>
                <w:sz w:val="14"/>
              </w:rPr>
              <w:t xml:space="preserve">espletamento</w:t>
            </w:r>
            <w:r>
              <w:rPr>
                <w:b/>
                <w:spacing w:val="40"/>
                <w:sz w:val="14"/>
              </w:rPr>
              <w:t xml:space="preserve"> </w:t>
            </w:r>
            <w:r>
              <w:rPr>
                <w:b/>
                <w:spacing w:val="-2"/>
                <w:sz w:val="14"/>
              </w:rPr>
              <w:t xml:space="preserve">servizi</w:t>
            </w:r>
            <w:r>
              <w:rPr>
                <w:b/>
                <w:sz w:val="14"/>
              </w:rPr>
            </w:r>
          </w:p>
        </w:tc>
        <w:tc>
          <w:tcPr>
            <w:tcBorders>
              <w:left w:val="single" w:color="000000" w:sz="6" w:space="0"/>
              <w:bottom w:val="single" w:color="000000" w:sz="6" w:space="0"/>
              <w:right w:val="single" w:color="000000" w:sz="6" w:space="0"/>
            </w:tcBorders>
            <w:tcW w:w="1482" w:type="dxa"/>
            <w:textDirection w:val="lrTb"/>
            <w:noWrap w:val="false"/>
          </w:tcPr>
          <w:p>
            <w:pPr>
              <w:pStyle w:val="999"/>
              <w:pBdr/>
              <w:spacing/>
              <w:ind/>
              <w:rPr>
                <w:b/>
                <w:sz w:val="14"/>
              </w:rPr>
            </w:pPr>
            <w:r>
              <w:rPr>
                <w:b/>
                <w:sz w:val="14"/>
              </w:rPr>
            </w:r>
            <w:r>
              <w:rPr>
                <w:b/>
                <w:sz w:val="14"/>
              </w:rPr>
            </w:r>
          </w:p>
          <w:p>
            <w:pPr>
              <w:pStyle w:val="999"/>
              <w:pBdr/>
              <w:spacing w:before="100"/>
              <w:ind/>
              <w:rPr>
                <w:b/>
                <w:sz w:val="14"/>
              </w:rPr>
            </w:pPr>
            <w:r>
              <w:rPr>
                <w:b/>
                <w:sz w:val="14"/>
              </w:rPr>
            </w:r>
            <w:r>
              <w:rPr>
                <w:b/>
                <w:sz w:val="14"/>
              </w:rPr>
            </w:r>
          </w:p>
          <w:p>
            <w:pPr>
              <w:pStyle w:val="999"/>
              <w:pBdr/>
              <w:spacing/>
              <w:ind w:right="71" w:hanging="145" w:left="392"/>
              <w:rPr>
                <w:b/>
                <w:sz w:val="14"/>
              </w:rPr>
            </w:pPr>
            <w:r>
              <w:rPr>
                <w:b/>
                <w:sz w:val="14"/>
              </w:rPr>
              <w:t xml:space="preserve">Verifiche</w:t>
            </w:r>
            <w:r>
              <w:rPr>
                <w:b/>
                <w:spacing w:val="-8"/>
                <w:sz w:val="14"/>
              </w:rPr>
              <w:t xml:space="preserve"> </w:t>
            </w:r>
            <w:r>
              <w:rPr>
                <w:b/>
                <w:sz w:val="14"/>
              </w:rPr>
              <w:t xml:space="preserve">finali</w:t>
            </w:r>
            <w:r>
              <w:rPr>
                <w:b/>
                <w:spacing w:val="-8"/>
                <w:sz w:val="14"/>
              </w:rPr>
              <w:t xml:space="preserve"> </w:t>
            </w:r>
            <w:r>
              <w:rPr>
                <w:b/>
                <w:sz w:val="14"/>
              </w:rPr>
              <w:t xml:space="preserve">sulla</w:t>
            </w:r>
            <w:r>
              <w:rPr>
                <w:b/>
                <w:spacing w:val="40"/>
                <w:sz w:val="14"/>
              </w:rPr>
              <w:t xml:space="preserve"> </w:t>
            </w:r>
            <w:r>
              <w:rPr>
                <w:b/>
                <w:sz w:val="14"/>
              </w:rPr>
              <w:t xml:space="preserve">conformità</w:t>
            </w:r>
            <w:r>
              <w:rPr>
                <w:b/>
                <w:spacing w:val="-8"/>
                <w:sz w:val="14"/>
              </w:rPr>
              <w:t xml:space="preserve"> </w:t>
            </w:r>
            <w:r>
              <w:rPr>
                <w:b/>
                <w:sz w:val="14"/>
              </w:rPr>
              <w:t xml:space="preserve">dei</w:t>
            </w:r>
            <w:r>
              <w:rPr>
                <w:b/>
                <w:sz w:val="14"/>
              </w:rPr>
            </w:r>
          </w:p>
          <w:p>
            <w:pPr>
              <w:pStyle w:val="999"/>
              <w:pBdr/>
              <w:spacing/>
              <w:ind w:left="158"/>
              <w:rPr>
                <w:b/>
                <w:sz w:val="14"/>
              </w:rPr>
            </w:pPr>
            <w:r>
              <w:rPr>
                <w:b/>
                <w:spacing w:val="-2"/>
                <w:sz w:val="14"/>
              </w:rPr>
              <w:t xml:space="preserve">beni/servizi</w:t>
            </w:r>
            <w:r>
              <w:rPr>
                <w:b/>
                <w:spacing w:val="13"/>
                <w:sz w:val="14"/>
              </w:rPr>
              <w:t xml:space="preserve"> </w:t>
            </w:r>
            <w:r>
              <w:rPr>
                <w:b/>
                <w:spacing w:val="-2"/>
                <w:sz w:val="14"/>
              </w:rPr>
              <w:t xml:space="preserve">acquisiti</w:t>
            </w:r>
            <w:r>
              <w:rPr>
                <w:b/>
                <w:sz w:val="14"/>
              </w:rPr>
            </w:r>
          </w:p>
        </w:tc>
        <w:tc>
          <w:tcPr>
            <w:tcBorders>
              <w:left w:val="single" w:color="000000" w:sz="6" w:space="0"/>
              <w:bottom w:val="single" w:color="000000" w:sz="6" w:space="0"/>
              <w:right w:val="single" w:color="000000" w:sz="6" w:space="0"/>
            </w:tcBorders>
            <w:tcW w:w="1128"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14"/>
              <w:ind/>
              <w:rPr>
                <w:b/>
                <w:sz w:val="14"/>
              </w:rPr>
            </w:pPr>
            <w:r>
              <w:rPr>
                <w:b/>
                <w:sz w:val="14"/>
              </w:rPr>
            </w:r>
            <w:r>
              <w:rPr>
                <w:b/>
                <w:sz w:val="14"/>
              </w:rPr>
            </w:r>
          </w:p>
          <w:p>
            <w:pPr>
              <w:pStyle w:val="999"/>
              <w:pBdr/>
              <w:spacing w:before="1"/>
              <w:ind w:right="-29" w:hanging="291" w:left="449"/>
              <w:rPr>
                <w:b/>
                <w:sz w:val="14"/>
              </w:rPr>
            </w:pPr>
            <w:r>
              <w:rPr>
                <w:b/>
                <w:spacing w:val="-2"/>
                <w:sz w:val="14"/>
              </w:rPr>
              <w:t xml:space="preserve">Rendicontazione</w:t>
            </w:r>
            <w:r>
              <w:rPr>
                <w:b/>
                <w:spacing w:val="40"/>
                <w:sz w:val="14"/>
              </w:rPr>
              <w:t xml:space="preserve"> </w:t>
            </w:r>
            <w:r>
              <w:rPr>
                <w:b/>
                <w:spacing w:val="-2"/>
                <w:sz w:val="14"/>
              </w:rPr>
              <w:t xml:space="preserve">finale</w:t>
            </w:r>
            <w:r>
              <w:rPr>
                <w:b/>
                <w:sz w:val="14"/>
              </w:rPr>
            </w:r>
          </w:p>
        </w:tc>
        <w:tc>
          <w:tcPr>
            <w:tcBorders>
              <w:left w:val="single" w:color="000000" w:sz="6" w:space="0"/>
              <w:bottom w:val="single" w:color="000000" w:sz="6" w:space="0"/>
            </w:tcBorders>
            <w:tcW w:w="3695" w:type="dxa"/>
            <w:textDirection w:val="lrTb"/>
            <w:noWrap w:val="false"/>
          </w:tcPr>
          <w:p>
            <w:pPr>
              <w:pStyle w:val="999"/>
              <w:pBdr/>
              <w:spacing/>
              <w:ind/>
              <w:rPr>
                <w:b/>
                <w:sz w:val="14"/>
              </w:rPr>
            </w:pPr>
            <w:r>
              <w:rPr>
                <w:b/>
                <w:sz w:val="14"/>
              </w:rPr>
            </w:r>
            <w:r>
              <w:rPr>
                <w:b/>
                <w:sz w:val="14"/>
              </w:rPr>
            </w:r>
          </w:p>
          <w:p>
            <w:pPr>
              <w:pStyle w:val="999"/>
              <w:pBdr/>
              <w:spacing/>
              <w:ind/>
              <w:rPr>
                <w:b/>
                <w:sz w:val="14"/>
              </w:rPr>
            </w:pPr>
            <w:r>
              <w:rPr>
                <w:b/>
                <w:sz w:val="14"/>
              </w:rPr>
            </w:r>
            <w:r>
              <w:rPr>
                <w:b/>
                <w:sz w:val="14"/>
              </w:rPr>
            </w:r>
          </w:p>
          <w:p>
            <w:pPr>
              <w:pStyle w:val="999"/>
              <w:pBdr/>
              <w:spacing w:before="14"/>
              <w:ind/>
              <w:rPr>
                <w:b/>
                <w:sz w:val="14"/>
              </w:rPr>
            </w:pPr>
            <w:r>
              <w:rPr>
                <w:b/>
                <w:sz w:val="14"/>
              </w:rPr>
            </w:r>
            <w:r>
              <w:rPr>
                <w:b/>
                <w:sz w:val="14"/>
              </w:rPr>
            </w:r>
          </w:p>
          <w:p>
            <w:pPr>
              <w:pStyle w:val="999"/>
              <w:pBdr/>
              <w:spacing w:before="1"/>
              <w:ind w:right="-15" w:firstLine="13" w:left="159"/>
              <w:rPr>
                <w:b/>
                <w:sz w:val="14"/>
              </w:rPr>
            </w:pPr>
            <w:r>
              <w:rPr>
                <w:b/>
                <w:spacing w:val="-2"/>
                <w:sz w:val="14"/>
              </w:rPr>
              <w:t xml:space="preserve">Totale</w:t>
            </w:r>
            <w:r>
              <w:rPr>
                <w:b/>
                <w:spacing w:val="40"/>
                <w:sz w:val="14"/>
              </w:rPr>
              <w:t xml:space="preserve"> </w:t>
            </w:r>
            <w:r>
              <w:rPr>
                <w:b/>
                <w:spacing w:val="-2"/>
                <w:sz w:val="14"/>
              </w:rPr>
              <w:t xml:space="preserve">(mesi)</w:t>
            </w:r>
            <w:r>
              <w:rPr>
                <w:b/>
                <w:sz w:val="14"/>
              </w:rPr>
            </w:r>
          </w:p>
        </w:tc>
      </w:tr>
    </w:tbl>
    <w:tbl>
      <w:tblPr>
        <w:tblW w:w="0" w:type="auto"/>
        <w:tblInd w:w="276"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left w:w="0" w:type="dxa"/>
          <w:right w:w="0" w:type="dxa"/>
        </w:tblCellMar>
        <w:tblLook w:val="01E0" w:firstRow="1" w:lastRow="1" w:firstColumn="1" w:lastColumn="1" w:noHBand="0" w:noVBand="0"/>
      </w:tblPr>
      <w:tblGrid>
        <w:gridCol w:w="1173"/>
        <w:gridCol w:w="1077"/>
        <w:gridCol w:w="964"/>
        <w:gridCol w:w="1482"/>
        <w:gridCol w:w="1128"/>
        <w:gridCol w:w="3695"/>
      </w:tblGrid>
      <w:tr>
        <w:trPr>
          <w:trHeight w:val="1222"/>
        </w:trPr>
        <w:tc>
          <w:tcPr>
            <w:shd w:val="clear" w:color="ffffff" w:fill="bdd6ed"/>
            <w:tcBorders>
              <w:bottom w:val="single" w:color="000000" w:sz="6" w:space="0"/>
              <w:right w:val="single" w:color="000000" w:sz="6" w:space="0"/>
            </w:tcBorders>
            <w:tcW w:w="1173" w:type="dxa"/>
            <w:textDirection w:val="lrTb"/>
            <w:noWrap w:val="false"/>
          </w:tcPr>
          <w:p>
            <w:pPr>
              <w:pStyle w:val="999"/>
              <w:pBdr/>
              <w:spacing/>
              <w:ind/>
              <w:rPr>
                <w:rFonts w:ascii="Times New Roman"/>
                <w:sz w:val="16"/>
              </w:rPr>
            </w:pPr>
            <w:r>
              <w:rPr>
                <w:rFonts w:ascii="Times New Roman"/>
                <w:sz w:val="16"/>
              </w:rPr>
            </w:r>
            <w:r>
              <w:rPr>
                <w:rFonts w:ascii="Times New Roman"/>
                <w:sz w:val="16"/>
              </w:rPr>
            </w:r>
            <w:r>
              <w:rPr>
                <w:rFonts w:ascii="Times New Roman"/>
                <w:sz w:val="16"/>
              </w:rPr>
            </w:r>
          </w:p>
        </w:tc>
        <w:tc>
          <w:tcPr>
            <w:tcBorders>
              <w:left w:val="single" w:color="000000" w:sz="6" w:space="0"/>
              <w:bottom w:val="single" w:color="000000" w:sz="6" w:space="0"/>
              <w:right w:val="single" w:color="000000" w:sz="6" w:space="0"/>
            </w:tcBorders>
            <w:tcW w:w="1077" w:type="dxa"/>
            <w:textDirection w:val="lrTb"/>
            <w:noWrap w:val="false"/>
          </w:tcPr>
          <w:p>
            <w:pPr>
              <w:pStyle w:val="999"/>
              <w:pBdr/>
              <w:spacing w:before="15"/>
              <w:ind w:right="-15" w:left="165"/>
              <w:jc w:val="center"/>
              <w:rPr>
                <w:b/>
                <w:sz w:val="14"/>
              </w:rPr>
            </w:pPr>
            <w:r>
              <w:rPr>
                <w:b/>
                <w:sz w:val="14"/>
              </w:rPr>
              <w:t xml:space="preserve">bene</w:t>
            </w:r>
            <w:r>
              <w:rPr>
                <w:b/>
                <w:spacing w:val="-3"/>
                <w:sz w:val="14"/>
              </w:rPr>
              <w:t xml:space="preserve"> </w:t>
            </w:r>
            <w:r>
              <w:rPr>
                <w:b/>
                <w:spacing w:val="-2"/>
                <w:sz w:val="14"/>
              </w:rPr>
              <w:t xml:space="preserve">finanziato</w:t>
            </w:r>
            <w:r>
              <w:rPr>
                <w:b/>
                <w:sz w:val="14"/>
              </w:rPr>
            </w:r>
            <w:r>
              <w:rPr>
                <w:b/>
                <w:sz w:val="14"/>
              </w:rPr>
            </w:r>
          </w:p>
          <w:p>
            <w:pPr>
              <w:pStyle w:val="999"/>
              <w:pBdr/>
              <w:spacing/>
              <w:ind w:right="11" w:left="185"/>
              <w:jc w:val="center"/>
              <w:rPr>
                <w:b/>
                <w:sz w:val="14"/>
              </w:rPr>
            </w:pPr>
            <w:r>
              <w:rPr>
                <w:b/>
                <w:sz w:val="14"/>
              </w:rPr>
              <mc:AlternateContent>
                <mc:Choice Requires="wpg">
                  <w:drawing>
                    <wp:anchor xmlns:wp="http://schemas.openxmlformats.org/drawingml/2006/wordprocessingDrawing" xmlns:wp14="http://schemas.microsoft.com/office/word/2010/wordprocessingDrawing" distT="0" distB="0" distL="0" distR="0" simplePos="0" relativeHeight="251669504" behindDoc="1" locked="0" layoutInCell="1" allowOverlap="1">
                      <wp:simplePos x="0" y="0"/>
                      <wp:positionH relativeFrom="column">
                        <wp:posOffset>529154</wp:posOffset>
                      </wp:positionH>
                      <wp:positionV relativeFrom="paragraph">
                        <wp:posOffset>275214</wp:posOffset>
                      </wp:positionV>
                      <wp:extent cx="20320" cy="5080"/>
                      <wp:effectExtent l="0" t="0" r="0" b="0"/>
                      <wp:wrapNone/>
                      <wp:docPr id="10" name="Group 20"/>
                      <wp:cNvGraphicFramePr/>
                      <a:graphic xmlns:a="http://schemas.openxmlformats.org/drawingml/2006/main">
                        <a:graphicData uri="http://schemas.microsoft.com/office/word/2010/wordprocessingGroup">
                          <wpg:wgp>
                            <wpg:cNvGrpSpPr/>
                            <wpg:grpSpPr bwMode="auto">
                              <a:xfrm>
                                <a:off x="0" y="0"/>
                                <a:ext cx="20319" cy="5079"/>
                                <a:chOff x="0" y="0"/>
                                <a:chExt cx="20319" cy="5079"/>
                              </a:xfrm>
                            </wpg:grpSpPr>
                            <wps:wsp>
                              <wps:cNvPr id="0" name=""/>
                              <wps:cNvSpPr/>
                              <wps:spPr bwMode="auto">
                                <a:xfrm>
                                  <a:off x="0" y="2468"/>
                                  <a:ext cx="20319" cy="1269"/>
                                </a:xfrm>
                                <a:custGeom>
                                  <a:avLst/>
                                  <a:gdLst/>
                                  <a:ahLst/>
                                  <a:cxnLst/>
                                  <a:rect l="l" t="t" r="r" b="b"/>
                                  <a:pathLst>
                                    <a:path w="20320" fill="norm" stroke="1" extrusionOk="0">
                                      <a:moveTo>
                                        <a:pt x="0" y="0"/>
                                      </a:moveTo>
                                      <a:lnTo>
                                        <a:pt x="20095" y="0"/>
                                      </a:lnTo>
                                    </a:path>
                                  </a:pathLst>
                                </a:custGeom>
                                <a:ln w="4938">
                                  <a:solidFill>
                                    <a:srgbClr val="0078D3"/>
                                  </a:solidFill>
                                  <a:prstDash val="solid"/>
                                </a:ln>
                              </wps:spPr>
                              <wps:bodyPr rot="0">
                                <a:prstTxWarp prst="textNoShape">
                                  <a:avLst/>
                                </a:prstTxWarp>
                                <a:noAutofit/>
                              </wps:bodyPr>
                            </wps:wsp>
                          </wpg:wgp>
                        </a:graphicData>
                      </a:graphic>
                    </wp:anchor>
                  </w:drawing>
                </mc:Choice>
                <mc:Fallback>
                  <w:pict>
                    <v:group id="group 14" o:spid="_x0000_s0000" style="position:absolute;z-index:-251669504;o:allowoverlap:true;o:allowincell:true;mso-position-horizontal-relative:text;margin-left:41.67pt;mso-position-horizontal:absolute;mso-position-vertical-relative:text;margin-top:21.67pt;mso-position-vertical:absolute;width:1.60pt;height:0.40pt;mso-wrap-distance-left:0.00pt;mso-wrap-distance-top:0.00pt;mso-wrap-distance-right:0.00pt;mso-wrap-distance-bottom:0.00pt;" coordorigin="0,0" coordsize="203,50">
                      <v:shape id="shape 15" o:spid="_x0000_s15" style="position:absolute;left:0;top:24;width:203;height:12;visibility:visible;" path="m0,0l98891,0e" coordsize="100000,100000" filled="f" strokecolor="#0078D3" strokeweight="0.39pt">
                        <v:path textboxrect="0,0,100000,100000"/>
                        <v:stroke dashstyle="solid"/>
                      </v:shape>
                    </v:group>
                  </w:pict>
                </mc:Fallback>
              </mc:AlternateContent>
            </w:r>
            <w:r>
              <w:rPr>
                <w:b/>
                <w:sz w:val="14"/>
              </w:rPr>
              <w:t xml:space="preserve">/</w:t>
            </w:r>
            <w:r>
              <w:rPr>
                <w:b/>
                <w:spacing w:val="-8"/>
                <w:sz w:val="14"/>
              </w:rPr>
              <w:t xml:space="preserve"> </w:t>
            </w:r>
            <w:r>
              <w:rPr>
                <w:b/>
                <w:sz w:val="14"/>
              </w:rPr>
              <w:t xml:space="preserve">erogazione</w:t>
            </w:r>
            <w:r>
              <w:rPr>
                <w:b/>
                <w:spacing w:val="40"/>
                <w:sz w:val="14"/>
              </w:rPr>
              <w:t xml:space="preserve"> </w:t>
            </w:r>
            <w:r>
              <w:rPr>
                <w:b/>
                <w:sz w:val="14"/>
              </w:rPr>
              <w:t xml:space="preserve">del</w:t>
            </w:r>
            <w:r>
              <w:rPr>
                <w:b/>
                <w:spacing w:val="-8"/>
                <w:sz w:val="14"/>
              </w:rPr>
              <w:t xml:space="preserve"> </w:t>
            </w:r>
            <w:r>
              <w:rPr>
                <w:b/>
                <w:sz w:val="14"/>
              </w:rPr>
              <w:t xml:space="preserve">servizio</w:t>
            </w:r>
            <w:r>
              <w:rPr>
                <w:b/>
                <w:spacing w:val="40"/>
                <w:sz w:val="14"/>
              </w:rPr>
              <w:t xml:space="preserve"> </w:t>
            </w:r>
            <w:r>
              <w:rPr>
                <w:b/>
                <w:sz w:val="14"/>
              </w:rPr>
              <w:t xml:space="preserve">finanziato</w:t>
            </w:r>
            <w:r>
              <w:rPr>
                <w:b/>
                <w:spacing w:val="12"/>
                <w:sz w:val="14"/>
              </w:rPr>
              <w:t xml:space="preserve"> </w:t>
            </w:r>
            <w:r>
              <w:rPr>
                <w:b/>
                <w:sz w:val="14"/>
              </w:rPr>
              <w:t xml:space="preserve">e</w:t>
            </w:r>
            <w:r>
              <w:rPr>
                <w:b/>
                <w:spacing w:val="40"/>
                <w:sz w:val="14"/>
              </w:rPr>
              <w:t xml:space="preserve"> </w:t>
            </w:r>
            <w:r>
              <w:rPr>
                <w:b/>
                <w:spacing w:val="-2"/>
                <w:sz w:val="14"/>
              </w:rPr>
              <w:t xml:space="preserve">stipula</w:t>
            </w:r>
            <w:r>
              <w:rPr>
                <w:b/>
                <w:spacing w:val="40"/>
                <w:sz w:val="14"/>
              </w:rPr>
              <w:t xml:space="preserve"> </w:t>
            </w:r>
            <w:r>
              <w:rPr>
                <w:b/>
                <w:spacing w:val="-2"/>
                <w:sz w:val="14"/>
              </w:rPr>
              <w:t xml:space="preserve">contratto</w:t>
            </w:r>
            <w:r>
              <w:rPr>
                <w:b/>
                <w:sz w:val="14"/>
              </w:rPr>
            </w:r>
            <w:r>
              <w:rPr>
                <w:b/>
                <w:sz w:val="14"/>
              </w:rPr>
            </w:r>
          </w:p>
        </w:tc>
        <w:tc>
          <w:tcPr>
            <w:tcBorders>
              <w:left w:val="single" w:color="000000" w:sz="6" w:space="0"/>
              <w:bottom w:val="single" w:color="000000" w:sz="6" w:space="0"/>
              <w:right w:val="single" w:color="000000" w:sz="6" w:space="0"/>
            </w:tcBorders>
            <w:tcW w:w="964" w:type="dxa"/>
            <w:textDirection w:val="lrTb"/>
            <w:noWrap w:val="false"/>
          </w:tcPr>
          <w:p>
            <w:pPr>
              <w:pStyle w:val="999"/>
              <w:pBdr/>
              <w:spacing/>
              <w:ind/>
              <w:rPr>
                <w:rFonts w:ascii="Times New Roman"/>
                <w:sz w:val="16"/>
              </w:rPr>
            </w:pPr>
            <w:r>
              <w:rPr>
                <w:rFonts w:ascii="Times New Roman"/>
                <w:sz w:val="16"/>
              </w:rPr>
            </w:r>
            <w:r>
              <w:rPr>
                <w:rFonts w:ascii="Times New Roman"/>
                <w:sz w:val="16"/>
              </w:rPr>
            </w:r>
            <w:r>
              <w:rPr>
                <w:rFonts w:ascii="Times New Roman"/>
                <w:sz w:val="16"/>
              </w:rPr>
            </w:r>
          </w:p>
        </w:tc>
        <w:tc>
          <w:tcPr>
            <w:tcBorders>
              <w:left w:val="single" w:color="000000" w:sz="6" w:space="0"/>
              <w:bottom w:val="single" w:color="000000" w:sz="6" w:space="0"/>
              <w:right w:val="single" w:color="000000" w:sz="6" w:space="0"/>
            </w:tcBorders>
            <w:tcW w:w="1482" w:type="dxa"/>
            <w:textDirection w:val="lrTb"/>
            <w:noWrap w:val="false"/>
          </w:tcPr>
          <w:p>
            <w:pPr>
              <w:pStyle w:val="999"/>
              <w:pBdr/>
              <w:spacing/>
              <w:ind/>
              <w:rPr>
                <w:rFonts w:ascii="Times New Roman"/>
                <w:sz w:val="16"/>
              </w:rPr>
            </w:pPr>
            <w:r>
              <w:rPr>
                <w:rFonts w:ascii="Times New Roman"/>
                <w:sz w:val="16"/>
              </w:rPr>
            </w:r>
            <w:r>
              <w:rPr>
                <w:rFonts w:ascii="Times New Roman"/>
                <w:sz w:val="16"/>
              </w:rPr>
            </w:r>
            <w:r>
              <w:rPr>
                <w:rFonts w:ascii="Times New Roman"/>
                <w:sz w:val="16"/>
              </w:rPr>
            </w:r>
          </w:p>
        </w:tc>
        <w:tc>
          <w:tcPr>
            <w:tcBorders>
              <w:left w:val="single" w:color="000000" w:sz="6" w:space="0"/>
              <w:bottom w:val="single" w:color="000000" w:sz="6" w:space="0"/>
              <w:right w:val="single" w:color="000000" w:sz="6" w:space="0"/>
            </w:tcBorders>
            <w:tcW w:w="1128" w:type="dxa"/>
            <w:textDirection w:val="lrTb"/>
            <w:noWrap w:val="false"/>
          </w:tcPr>
          <w:p>
            <w:pPr>
              <w:pStyle w:val="999"/>
              <w:pBdr/>
              <w:spacing/>
              <w:ind/>
              <w:rPr>
                <w:rFonts w:ascii="Times New Roman"/>
                <w:sz w:val="16"/>
              </w:rPr>
            </w:pPr>
            <w:r>
              <w:rPr>
                <w:rFonts w:ascii="Times New Roman"/>
                <w:sz w:val="16"/>
              </w:rPr>
            </w:r>
            <w:r>
              <w:rPr>
                <w:rFonts w:ascii="Times New Roman"/>
                <w:sz w:val="16"/>
              </w:rPr>
            </w:r>
            <w:r>
              <w:rPr>
                <w:rFonts w:ascii="Times New Roman"/>
                <w:sz w:val="16"/>
              </w:rPr>
            </w:r>
          </w:p>
        </w:tc>
        <w:tc>
          <w:tcPr>
            <w:tcBorders>
              <w:left w:val="single" w:color="000000" w:sz="6" w:space="0"/>
              <w:bottom w:val="single" w:color="000000" w:sz="6" w:space="0"/>
            </w:tcBorders>
            <w:tcW w:w="3695" w:type="dxa"/>
            <w:textDirection w:val="lrTb"/>
            <w:noWrap w:val="false"/>
          </w:tcPr>
          <w:p>
            <w:pPr>
              <w:pStyle w:val="999"/>
              <w:pBdr/>
              <w:spacing/>
              <w:ind/>
              <w:rPr>
                <w:rFonts w:ascii="Times New Roman"/>
                <w:sz w:val="16"/>
              </w:rPr>
            </w:pPr>
            <w:r>
              <w:rPr>
                <w:rFonts w:ascii="Times New Roman"/>
                <w:sz w:val="16"/>
              </w:rPr>
            </w:r>
            <w:r>
              <w:rPr>
                <w:rFonts w:ascii="Times New Roman"/>
                <w:sz w:val="16"/>
              </w:rPr>
            </w:r>
            <w:r>
              <w:rPr>
                <w:rFonts w:ascii="Times New Roman"/>
                <w:sz w:val="16"/>
              </w:rPr>
            </w:r>
          </w:p>
        </w:tc>
      </w:tr>
      <w:tr>
        <w:trPr>
          <w:trHeight w:val="676"/>
        </w:trPr>
        <w:tc>
          <w:tcPr>
            <w:tcBorders>
              <w:top w:val="single" w:color="000000" w:sz="6" w:space="0"/>
              <w:right w:val="single" w:color="000000" w:sz="6" w:space="0"/>
            </w:tcBorders>
            <w:tcW w:w="1173" w:type="dxa"/>
            <w:textDirection w:val="lrTb"/>
            <w:noWrap w:val="false"/>
          </w:tcPr>
          <w:p>
            <w:pPr>
              <w:pStyle w:val="999"/>
              <w:pBdr/>
              <w:spacing w:line="170" w:lineRule="atLeast"/>
              <w:ind w:right="169" w:hanging="48" w:left="394"/>
              <w:rPr>
                <w:b/>
                <w:sz w:val="14"/>
              </w:rPr>
            </w:pPr>
            <w:r>
              <w:rPr>
                <w:b/>
                <w:spacing w:val="-2"/>
                <w:sz w:val="14"/>
              </w:rPr>
              <w:t xml:space="preserve">Tempistica</w:t>
            </w:r>
            <w:r>
              <w:rPr>
                <w:b/>
                <w:spacing w:val="40"/>
                <w:sz w:val="14"/>
              </w:rPr>
              <w:t xml:space="preserve"> </w:t>
            </w:r>
            <w:r>
              <w:rPr>
                <w:b/>
                <w:spacing w:val="-2"/>
                <w:sz w:val="14"/>
              </w:rPr>
              <w:t xml:space="preserve">massima</w:t>
            </w:r>
            <w:r>
              <w:rPr>
                <w:b/>
                <w:spacing w:val="40"/>
                <w:sz w:val="14"/>
              </w:rPr>
              <w:t xml:space="preserve"> </w:t>
            </w:r>
            <w:r>
              <w:rPr>
                <w:b/>
                <w:spacing w:val="-2"/>
                <w:sz w:val="14"/>
              </w:rPr>
              <w:t xml:space="preserve">prevista</w:t>
            </w:r>
            <w:r>
              <w:rPr>
                <w:b/>
                <w:spacing w:val="40"/>
                <w:sz w:val="14"/>
              </w:rPr>
              <w:t xml:space="preserve"> </w:t>
            </w:r>
            <w:r>
              <w:rPr>
                <w:b/>
                <w:sz w:val="14"/>
              </w:rPr>
              <w:t xml:space="preserve">(in</w:t>
            </w:r>
            <w:r>
              <w:rPr>
                <w:b/>
                <w:spacing w:val="-8"/>
                <w:sz w:val="14"/>
              </w:rPr>
              <w:t xml:space="preserve"> </w:t>
            </w:r>
            <w:r>
              <w:rPr>
                <w:b/>
                <w:sz w:val="14"/>
              </w:rPr>
              <w:t xml:space="preserve">mesi)</w:t>
            </w:r>
            <w:r>
              <w:rPr>
                <w:b/>
                <w:sz w:val="14"/>
              </w:rPr>
            </w:r>
            <w:r>
              <w:rPr>
                <w:b/>
                <w:sz w:val="14"/>
              </w:rPr>
            </w:r>
          </w:p>
        </w:tc>
        <w:tc>
          <w:tcPr>
            <w:tcBorders>
              <w:top w:val="single" w:color="000000" w:sz="6" w:space="0"/>
              <w:left w:val="single" w:color="000000" w:sz="6" w:space="0"/>
              <w:right w:val="single" w:color="000000" w:sz="6" w:space="0"/>
            </w:tcBorders>
            <w:tcW w:w="1077" w:type="dxa"/>
            <w:textDirection w:val="lrTb"/>
            <w:noWrap w:val="false"/>
          </w:tcPr>
          <w:p>
            <w:pPr>
              <w:pStyle w:val="999"/>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964" w:type="dxa"/>
            <w:textDirection w:val="lrTb"/>
            <w:noWrap w:val="false"/>
          </w:tcPr>
          <w:p>
            <w:pPr>
              <w:pStyle w:val="999"/>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482" w:type="dxa"/>
            <w:textDirection w:val="lrTb"/>
            <w:noWrap w:val="false"/>
          </w:tcPr>
          <w:p>
            <w:pPr>
              <w:pStyle w:val="999"/>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128" w:type="dxa"/>
            <w:textDirection w:val="lrTb"/>
            <w:noWrap w:val="false"/>
          </w:tcPr>
          <w:p>
            <w:pPr>
              <w:pStyle w:val="999"/>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tcBorders>
            <w:tcW w:w="3695" w:type="dxa"/>
            <w:textDirection w:val="lrTb"/>
            <w:noWrap w:val="false"/>
          </w:tcPr>
          <w:p>
            <w:pPr>
              <w:pStyle w:val="999"/>
              <w:pBdr/>
              <w:spacing/>
              <w:ind/>
              <w:rPr>
                <w:rFonts w:ascii="Times New Roman"/>
                <w:sz w:val="16"/>
              </w:rPr>
            </w:pPr>
            <w:r>
              <w:rPr>
                <w:rFonts w:ascii="Times New Roman"/>
                <w:sz w:val="16"/>
              </w:rPr>
            </w:r>
            <w:r>
              <w:rPr>
                <w:rFonts w:ascii="Times New Roman"/>
                <w:sz w:val="16"/>
              </w:rPr>
            </w:r>
            <w:r>
              <w:rPr>
                <w:rFonts w:ascii="Times New Roman"/>
                <w:sz w:val="16"/>
              </w:rPr>
            </w:r>
          </w:p>
        </w:tc>
      </w:tr>
    </w:tbl>
    <w:p>
      <w:pPr>
        <w:pStyle w:val="997"/>
        <w:pBdr/>
        <w:spacing/>
        <w:ind/>
        <w:rPr>
          <w:b/>
          <w:bCs/>
          <w:sz w:val="20"/>
          <w:szCs w:val="20"/>
        </w:rPr>
      </w:pPr>
      <w:r>
        <w:rPr>
          <w:b/>
          <w:sz w:val="20"/>
        </w:rPr>
      </w:r>
      <w:r>
        <w:rPr>
          <w:b/>
          <w:sz w:val="20"/>
        </w:rPr>
      </w:r>
    </w:p>
    <w:p>
      <w:pPr>
        <w:pStyle w:val="997"/>
        <w:pBdr/>
        <w:spacing w:before="64"/>
        <w:ind/>
        <w:rPr>
          <w:b/>
          <w:sz w:val="20"/>
        </w:rPr>
      </w:pPr>
      <w:r>
        <w:rPr>
          <w:b/>
          <w:sz w:val="20"/>
        </w:rPr>
        <mc:AlternateContent>
          <mc:Choice Requires="wpg">
            <w:drawing>
              <wp:anchor xmlns:wp="http://schemas.openxmlformats.org/drawingml/2006/wordprocessingDrawing" xmlns:wp14="http://schemas.microsoft.com/office/word/2010/wordprocessingDrawing" distT="0" distB="0" distL="0" distR="0" simplePos="0" relativeHeight="251675648" behindDoc="1" locked="0" layoutInCell="1" allowOverlap="1">
                <wp:simplePos x="0" y="0"/>
                <wp:positionH relativeFrom="page">
                  <wp:posOffset>702089</wp:posOffset>
                </wp:positionH>
                <wp:positionV relativeFrom="paragraph">
                  <wp:posOffset>211216</wp:posOffset>
                </wp:positionV>
                <wp:extent cx="6156325" cy="341630"/>
                <wp:effectExtent l="0" t="0" r="0" b="0"/>
                <wp:wrapTopAndBottom/>
                <wp:docPr id="11" name="Textbox 22"/>
                <wp:cNvGraphicFramePr/>
                <a:graphic xmlns:a="http://schemas.openxmlformats.org/drawingml/2006/main">
                  <a:graphicData uri="http://schemas.microsoft.com/office/word/2010/wordprocessingShape">
                    <wps:wsp>
                      <wps:cNvPr id="0" name=""/>
                      <wps:cNvSpPr txBox="1"/>
                      <wps:spPr bwMode="auto">
                        <a:xfrm>
                          <a:off x="0" y="0"/>
                          <a:ext cx="6156325" cy="341630"/>
                        </a:xfrm>
                        <a:prstGeom prst="rect">
                          <a:avLst/>
                        </a:prstGeom>
                        <a:solidFill>
                          <a:srgbClr val="F2F2F2"/>
                        </a:solidFill>
                      </wps:spPr>
                      <wps:txbx>
                        <w:txbxContent>
                          <w:p>
                            <w:pPr>
                              <w:pStyle w:val="997"/>
                              <w:pBdr/>
                              <w:spacing/>
                              <w:ind w:right="3977" w:firstLine="398" w:left="3933"/>
                              <w:rPr>
                                <w:color w:val="000000"/>
                              </w:rPr>
                            </w:pPr>
                            <w:r>
                              <w:rPr>
                                <w:color w:val="1f4c78"/>
                              </w:rPr>
                              <w:t xml:space="preserve">SEZIONE IV</w:t>
                            </w:r>
                            <w:r>
                              <w:rPr>
                                <w:color w:val="1f4c78"/>
                                <w:spacing w:val="-2"/>
                              </w:rPr>
                              <w:t xml:space="preserve">PIANOFINANZIARIO</w:t>
                            </w:r>
                            <w:r>
                              <w:rPr>
                                <w:color w:val="000000"/>
                              </w:rPr>
                            </w:r>
                          </w:p>
                        </w:txbxContent>
                      </wps:txbx>
                      <wps:bodyPr wrap="square" lIns="0" tIns="0" rIns="0" bIns="0" rtlCol="0"/>
                    </wps:wsp>
                  </a:graphicData>
                </a:graphic>
              </wp:anchor>
            </w:drawing>
          </mc:Choice>
          <mc:Fallback>
            <w:pict>
              <v:shape id="shape 16" o:spid="_x0000_s16" o:spt="202" type="#_x0000_t202" style="position:absolute;z-index:-251675648;o:allowoverlap:true;o:allowincell:true;mso-position-horizontal-relative:page;margin-left:55.28pt;mso-position-horizontal:absolute;mso-position-vertical-relative:text;margin-top:16.63pt;mso-position-vertical:absolute;width:484.75pt;height:26.90pt;mso-wrap-distance-left:0.00pt;mso-wrap-distance-top:0.00pt;mso-wrap-distance-right:0.00pt;mso-wrap-distance-bottom:0.00pt;visibility:visible;" fillcolor="#F2F2F2">
                <w10:wrap type="topAndBottom"/>
                <v:textbox inset="0,0,0,0">
                  <w:txbxContent>
                    <w:p>
                      <w:pPr>
                        <w:pStyle w:val="997"/>
                        <w:pBdr/>
                        <w:spacing/>
                        <w:ind w:right="3977" w:firstLine="398" w:left="3933"/>
                        <w:rPr>
                          <w:color w:val="000000"/>
                        </w:rPr>
                      </w:pPr>
                      <w:r>
                        <w:rPr>
                          <w:color w:val="1f4c78"/>
                        </w:rPr>
                        <w:t xml:space="preserve">SEZIONE IV</w:t>
                      </w:r>
                      <w:r>
                        <w:rPr>
                          <w:color w:val="1f4c78"/>
                          <w:spacing w:val="-2"/>
                        </w:rPr>
                        <w:t xml:space="preserve">PIANOFINANZIARIO</w:t>
                      </w:r>
                      <w:r>
                        <w:rPr>
                          <w:color w:val="000000"/>
                        </w:rPr>
                      </w:r>
                    </w:p>
                  </w:txbxContent>
                </v:textbox>
              </v:shape>
            </w:pict>
          </mc:Fallback>
        </mc:AlternateContent>
      </w:r>
      <w:r>
        <w:rPr>
          <w:b/>
          <w:sz w:val="20"/>
        </w:rPr>
      </w:r>
    </w:p>
    <w:p>
      <w:pPr>
        <w:pStyle w:val="997"/>
        <w:pBdr/>
        <w:spacing/>
        <w:ind/>
        <w:rPr>
          <w:b/>
        </w:rPr>
      </w:pPr>
      <w:r>
        <w:rPr>
          <w:b/>
        </w:rPr>
      </w:r>
      <w:r>
        <w:rPr>
          <w:b/>
        </w:rPr>
      </w:r>
    </w:p>
    <w:p>
      <w:pPr>
        <w:pStyle w:val="998"/>
        <w:numPr>
          <w:ilvl w:val="1"/>
          <w:numId w:val="1"/>
        </w:numPr>
        <w:pBdr/>
        <w:tabs>
          <w:tab w:val="left" w:leader="none" w:pos="849"/>
        </w:tabs>
        <w:spacing/>
        <w:ind w:hanging="566" w:left="849"/>
        <w:rPr>
          <w:i/>
        </w:rPr>
      </w:pPr>
      <w:r>
        <w:rPr>
          <w:i/>
          <w:color w:val="1f4c78"/>
          <w:spacing w:val="-2"/>
        </w:rPr>
        <w:t xml:space="preserve">Fonti</w:t>
      </w:r>
      <w:r>
        <w:rPr>
          <w:i/>
          <w:color w:val="1f4c78"/>
          <w:spacing w:val="-4"/>
        </w:rPr>
        <w:t xml:space="preserve"> </w:t>
      </w:r>
      <w:r>
        <w:rPr>
          <w:i/>
          <w:color w:val="1f4c78"/>
          <w:spacing w:val="-2"/>
        </w:rPr>
        <w:t xml:space="preserve">finanziarie</w:t>
      </w:r>
      <w:r>
        <w:rPr>
          <w:i/>
          <w:color w:val="1f4c78"/>
          <w:spacing w:val="-3"/>
        </w:rPr>
        <w:t xml:space="preserve"> </w:t>
      </w:r>
      <w:r>
        <w:rPr>
          <w:i/>
          <w:color w:val="1f4c78"/>
          <w:spacing w:val="-2"/>
        </w:rPr>
        <w:t xml:space="preserve">dell’Operazione</w:t>
      </w:r>
      <w:r>
        <w:rPr>
          <w:i/>
        </w:rPr>
      </w:r>
    </w:p>
    <w:tbl>
      <w:tblPr>
        <w:tblW w:w="0" w:type="auto"/>
        <w:tblInd w:w="239"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left w:w="0" w:type="dxa"/>
          <w:right w:w="0" w:type="dxa"/>
        </w:tblCellMar>
        <w:tblLook w:val="01E0" w:firstRow="1" w:lastRow="1" w:firstColumn="1" w:lastColumn="1" w:noHBand="0" w:noVBand="0"/>
      </w:tblPr>
      <w:tblGrid>
        <w:gridCol w:w="1090"/>
        <w:gridCol w:w="1273"/>
        <w:gridCol w:w="7185"/>
      </w:tblGrid>
      <w:tr>
        <w:trPr>
          <w:trHeight w:val="668"/>
        </w:trPr>
        <w:tc>
          <w:tcPr>
            <w:tcBorders>
              <w:left w:val="single" w:color="000000" w:sz="6" w:space="0"/>
              <w:bottom w:val="none" w:color="000000" w:sz="4" w:space="0"/>
              <w:right w:val="single" w:color="000000" w:sz="6" w:space="0"/>
            </w:tcBorders>
            <w:tcW w:w="1090" w:type="dxa"/>
            <w:vMerge w:val="restart"/>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left w:val="single" w:color="000000" w:sz="6" w:space="0"/>
              <w:bottom w:val="none" w:color="000000" w:sz="4" w:space="0"/>
              <w:right w:val="single" w:color="000000" w:sz="6" w:space="0"/>
            </w:tcBorders>
            <w:tcW w:w="1273" w:type="dxa"/>
            <w:textDirection w:val="lrTb"/>
            <w:noWrap w:val="false"/>
          </w:tcPr>
          <w:p>
            <w:pPr>
              <w:pStyle w:val="999"/>
              <w:pBdr/>
              <w:spacing/>
              <w:ind w:right="-15" w:left="156"/>
              <w:rPr>
                <w:b/>
                <w:sz w:val="14"/>
              </w:rPr>
            </w:pPr>
            <w:r>
              <w:rPr>
                <w:b/>
                <w:spacing w:val="-2"/>
                <w:sz w:val="14"/>
              </w:rPr>
              <w:t xml:space="preserve">Finanziamento</w:t>
            </w:r>
            <w:r>
              <w:rPr>
                <w:b/>
                <w:spacing w:val="40"/>
                <w:sz w:val="14"/>
              </w:rPr>
              <w:t xml:space="preserve"> </w:t>
            </w:r>
            <w:r>
              <w:rPr>
                <w:b/>
                <w:sz w:val="14"/>
              </w:rPr>
              <w:t xml:space="preserve">richiesto</w:t>
            </w:r>
            <w:r>
              <w:rPr>
                <w:b/>
                <w:spacing w:val="40"/>
                <w:sz w:val="14"/>
              </w:rPr>
              <w:t xml:space="preserve"> </w:t>
            </w:r>
            <w:r>
              <w:rPr>
                <w:b/>
                <w:sz w:val="14"/>
              </w:rPr>
              <w:t xml:space="preserve">a</w:t>
            </w:r>
            <w:r>
              <w:rPr>
                <w:b/>
                <w:spacing w:val="40"/>
                <w:sz w:val="14"/>
              </w:rPr>
              <w:t xml:space="preserve"> </w:t>
            </w:r>
            <w:r>
              <w:rPr>
                <w:b/>
                <w:sz w:val="14"/>
              </w:rPr>
              <w:t xml:space="preserve">valere</w:t>
            </w:r>
            <w:r>
              <w:rPr>
                <w:b/>
                <w:spacing w:val="40"/>
                <w:sz w:val="14"/>
              </w:rPr>
              <w:t xml:space="preserve"> </w:t>
            </w:r>
            <w:r>
              <w:rPr>
                <w:b/>
                <w:spacing w:val="-2"/>
                <w:sz w:val="14"/>
              </w:rPr>
              <w:t xml:space="preserve">sull’azione</w:t>
            </w:r>
            <w:r>
              <w:rPr>
                <w:b/>
                <w:sz w:val="14"/>
              </w:rPr>
            </w:r>
          </w:p>
        </w:tc>
        <w:tc>
          <w:tcPr>
            <w:tcBorders>
              <w:left w:val="single" w:color="000000" w:sz="6" w:space="0"/>
              <w:bottom w:val="none" w:color="000000" w:sz="4" w:space="0"/>
            </w:tcBorders>
            <w:tcW w:w="7185" w:type="dxa"/>
            <w:textDirection w:val="lrTb"/>
            <w:noWrap w:val="false"/>
          </w:tcPr>
          <w:p>
            <w:pPr>
              <w:pStyle w:val="999"/>
              <w:pBdr/>
              <w:spacing/>
              <w:ind/>
              <w:rPr>
                <w:i/>
                <w:sz w:val="14"/>
              </w:rPr>
            </w:pPr>
            <w:r>
              <w:rPr>
                <w:i/>
                <w:sz w:val="14"/>
              </w:rPr>
            </w:r>
            <w:r>
              <w:rPr>
                <w:i/>
                <w:sz w:val="14"/>
              </w:rPr>
            </w:r>
          </w:p>
          <w:p>
            <w:pPr>
              <w:pStyle w:val="999"/>
              <w:pBdr/>
              <w:spacing w:before="85"/>
              <w:ind/>
              <w:rPr>
                <w:i/>
                <w:sz w:val="14"/>
              </w:rPr>
            </w:pPr>
            <w:r>
              <w:rPr>
                <w:i/>
                <w:sz w:val="14"/>
              </w:rPr>
            </w:r>
            <w:r>
              <w:rPr>
                <w:i/>
                <w:sz w:val="14"/>
              </w:rPr>
            </w:r>
          </w:p>
          <w:p>
            <w:pPr>
              <w:pStyle w:val="999"/>
              <w:pBdr/>
              <w:spacing/>
              <w:ind w:left="107"/>
              <w:rPr>
                <w:b/>
                <w:sz w:val="14"/>
              </w:rPr>
            </w:pPr>
            <w:r>
              <w:rPr>
                <w:b/>
                <w:spacing w:val="-10"/>
                <w:sz w:val="14"/>
              </w:rPr>
              <w:t xml:space="preserve">€</w:t>
            </w:r>
            <w:r>
              <w:rPr>
                <w:b/>
                <w:sz w:val="14"/>
              </w:rPr>
            </w:r>
          </w:p>
        </w:tc>
      </w:tr>
      <w:tr>
        <w:trPr>
          <w:trHeight w:val="364"/>
        </w:trPr>
        <w:tc>
          <w:tcPr>
            <w:tcBorders>
              <w:top w:val="none" w:color="000000" w:sz="4" w:space="0"/>
              <w:left w:val="single" w:color="000000" w:sz="6" w:space="0"/>
              <w:bottom w:val="none" w:color="000000" w:sz="4" w:space="0"/>
              <w:right w:val="single" w:color="000000" w:sz="6" w:space="0"/>
            </w:tcBorders>
            <w:tcW w:w="1090" w:type="dxa"/>
            <w:vMerge w:val="continue"/>
            <w:textDirection w:val="lrTb"/>
            <w:noWrap w:val="false"/>
          </w:tcPr>
          <w:p>
            <w:pPr>
              <w:pBdr/>
              <w:spacing/>
              <w:ind/>
              <w:rPr>
                <w:sz w:val="2"/>
                <w:szCs w:val="2"/>
              </w:rPr>
            </w:pPr>
            <w:r>
              <w:rPr>
                <w:sz w:val="2"/>
                <w:szCs w:val="2"/>
              </w:rPr>
            </w:r>
            <w:r>
              <w:rPr>
                <w:sz w:val="2"/>
                <w:szCs w:val="2"/>
              </w:rPr>
            </w:r>
          </w:p>
        </w:tc>
        <w:tc>
          <w:tcPr>
            <w:tcBorders>
              <w:top w:val="none" w:color="000000" w:sz="4" w:space="0"/>
              <w:left w:val="single" w:color="000000" w:sz="6" w:space="0"/>
              <w:bottom w:val="single" w:color="000000" w:sz="6" w:space="0"/>
              <w:right w:val="single" w:color="000000" w:sz="6" w:space="0"/>
            </w:tcBorders>
            <w:tcW w:w="1273" w:type="dxa"/>
            <w:textDirection w:val="lrTb"/>
            <w:noWrap w:val="false"/>
          </w:tcPr>
          <w:p>
            <w:pPr>
              <w:pStyle w:val="999"/>
              <w:pBdr/>
              <w:spacing w:line="20" w:lineRule="exact"/>
              <w:ind w:left="156"/>
              <w:rPr>
                <w:sz w:val="2"/>
              </w:rPr>
            </w:pPr>
            <w:r>
              <w:rPr>
                <w:sz w:val="2"/>
              </w:rPr>
              <mc:AlternateContent>
                <mc:Choice Requires="wpg">
                  <w:drawing>
                    <wp:inline xmlns:wp="http://schemas.openxmlformats.org/drawingml/2006/wordprocessingDrawing" distT="0" distB="0" distL="0" distR="0">
                      <wp:extent cx="575945" cy="8255"/>
                      <wp:effectExtent l="9525" t="0" r="0" b="1269"/>
                      <wp:docPr id="12" name="Group 23"/>
                      <wp:cNvGraphicFramePr/>
                      <a:graphic xmlns:a="http://schemas.openxmlformats.org/drawingml/2006/main">
                        <a:graphicData uri="http://schemas.microsoft.com/office/word/2010/wordprocessingGroup">
                          <wpg:wgp>
                            <wpg:cNvGrpSpPr/>
                            <wpg:grpSpPr bwMode="auto">
                              <a:xfrm>
                                <a:off x="0" y="0"/>
                                <a:ext cx="575945" cy="8255"/>
                                <a:chOff x="0" y="0"/>
                                <a:chExt cx="575945" cy="8255"/>
                              </a:xfrm>
                            </wpg:grpSpPr>
                            <wps:wsp>
                              <wps:cNvPr id="0" name=""/>
                              <wps:cNvSpPr/>
                              <wps:spPr bwMode="auto">
                                <a:xfrm>
                                  <a:off x="0" y="4043"/>
                                  <a:ext cx="575945" cy="1270"/>
                                </a:xfrm>
                                <a:custGeom>
                                  <a:avLst/>
                                  <a:gdLst/>
                                  <a:ahLst/>
                                  <a:cxnLst/>
                                  <a:rect l="l" t="t" r="r" b="b"/>
                                  <a:pathLst>
                                    <a:path w="575945" fill="norm" stroke="1" extrusionOk="0">
                                      <a:moveTo>
                                        <a:pt x="0" y="0"/>
                                      </a:moveTo>
                                      <a:lnTo>
                                        <a:pt x="575538" y="0"/>
                                      </a:lnTo>
                                    </a:path>
                                  </a:pathLst>
                                </a:custGeom>
                                <a:ln w="8089">
                                  <a:solidFill>
                                    <a:srgbClr val="000000"/>
                                  </a:solidFill>
                                  <a:prstDash val="solid"/>
                                </a:ln>
                              </wps:spPr>
                              <wps:bodyPr rot="0">
                                <a:prstTxWarp prst="textNoShape">
                                  <a:avLst/>
                                </a:prstTxWarp>
                                <a:noAutofit/>
                              </wps:bodyPr>
                            </wps:wsp>
                          </wpg:wgp>
                        </a:graphicData>
                      </a:graphic>
                    </wp:inline>
                  </w:drawing>
                </mc:Choice>
                <mc:Fallback>
                  <w:pict>
                    <v:group id="group 17" o:spid="_x0000_s0000" style="width:45.35pt;height:0.65pt;mso-wrap-distance-left:0.00pt;mso-wrap-distance-top:0.00pt;mso-wrap-distance-right:0.00pt;mso-wrap-distance-bottom:0.00pt;" coordorigin="0,0" coordsize="5759,82">
                      <v:shape id="shape 18" o:spid="_x0000_s18" style="position:absolute;left:0;top:40;width:5759;height:12;visibility:visible;" path="m0,0l99928,0e" coordsize="100000,100000" filled="f" strokecolor="#000000" strokeweight="0.64pt">
                        <v:path textboxrect="0,0,100000,100000"/>
                        <v:stroke dashstyle="solid"/>
                      </v:shape>
                    </v:group>
                  </w:pict>
                </mc:Fallback>
              </mc:AlternateContent>
            </w:r>
            <w:r>
              <w:rPr>
                <w:sz w:val="2"/>
              </w:rPr>
            </w:r>
          </w:p>
          <w:p>
            <w:pPr>
              <w:pStyle w:val="999"/>
              <w:pBdr/>
              <w:spacing w:line="170" w:lineRule="atLeast"/>
              <w:ind w:right="-15" w:left="156"/>
              <w:rPr>
                <w:b/>
                <w:sz w:val="14"/>
              </w:rPr>
            </w:pPr>
            <w:r>
              <w:rPr>
                <w:b/>
                <w:sz w:val="14"/>
              </w:rPr>
              <w:t xml:space="preserve">del</w:t>
            </w:r>
            <w:r>
              <w:rPr>
                <w:b/>
                <w:spacing w:val="13"/>
                <w:sz w:val="14"/>
              </w:rPr>
              <w:t xml:space="preserve"> </w:t>
            </w:r>
            <w:r>
              <w:rPr>
                <w:b/>
                <w:sz w:val="14"/>
              </w:rPr>
              <w:t xml:space="preserve">PR</w:t>
            </w:r>
            <w:r>
              <w:rPr>
                <w:b/>
                <w:spacing w:val="13"/>
                <w:sz w:val="14"/>
              </w:rPr>
              <w:t xml:space="preserve"> </w:t>
            </w:r>
            <w:r>
              <w:rPr>
                <w:b/>
                <w:sz w:val="14"/>
              </w:rPr>
              <w:t xml:space="preserve">FESR</w:t>
            </w:r>
            <w:r>
              <w:rPr>
                <w:b/>
                <w:spacing w:val="13"/>
                <w:sz w:val="14"/>
              </w:rPr>
              <w:t xml:space="preserve"> </w:t>
            </w:r>
            <w:r>
              <w:rPr>
                <w:b/>
                <w:sz w:val="14"/>
              </w:rPr>
              <w:t xml:space="preserve">Sicilia</w:t>
            </w:r>
            <w:r>
              <w:rPr>
                <w:b/>
                <w:spacing w:val="40"/>
                <w:sz w:val="14"/>
              </w:rPr>
              <w:t xml:space="preserve"> </w:t>
            </w:r>
            <w:r>
              <w:rPr>
                <w:b/>
                <w:spacing w:val="-2"/>
                <w:sz w:val="14"/>
              </w:rPr>
              <w:t xml:space="preserve">2021-2027</w:t>
            </w:r>
            <w:r>
              <w:rPr>
                <w:b/>
                <w:sz w:val="14"/>
              </w:rPr>
            </w:r>
          </w:p>
        </w:tc>
        <w:tc>
          <w:tcPr>
            <w:tcBorders>
              <w:top w:val="none" w:color="000000" w:sz="4" w:space="0"/>
              <w:left w:val="single" w:color="000000" w:sz="6" w:space="0"/>
              <w:bottom w:val="single" w:color="000000" w:sz="6" w:space="0"/>
            </w:tcBorders>
            <w:tcW w:w="7185"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r>
      <w:tr>
        <w:trPr>
          <w:trHeight w:val="850"/>
        </w:trPr>
        <w:tc>
          <w:tcPr>
            <w:tcBorders>
              <w:top w:val="none" w:color="000000" w:sz="4" w:space="0"/>
              <w:left w:val="single" w:color="000000" w:sz="6" w:space="0"/>
              <w:bottom w:val="none" w:color="000000" w:sz="4" w:space="0"/>
              <w:right w:val="single" w:color="000000" w:sz="6" w:space="0"/>
            </w:tcBorders>
            <w:tcW w:w="1090" w:type="dxa"/>
            <w:vMerge w:val="continue"/>
            <w:textDirection w:val="lrTb"/>
            <w:noWrap w:val="false"/>
          </w:tcPr>
          <w:p>
            <w:pPr>
              <w:pBdr/>
              <w:spacing/>
              <w:ind/>
              <w:rPr>
                <w:sz w:val="2"/>
                <w:szCs w:val="2"/>
              </w:rPr>
            </w:pPr>
            <w:r>
              <w:rPr>
                <w:sz w:val="2"/>
                <w:szCs w:val="2"/>
              </w:rPr>
            </w:r>
            <w:r>
              <w:rPr>
                <w:sz w:val="2"/>
                <w:szCs w:val="2"/>
              </w:rPr>
            </w:r>
          </w:p>
        </w:tc>
        <w:tc>
          <w:tcPr>
            <w:tcBorders>
              <w:top w:val="single" w:color="000000" w:sz="6" w:space="0"/>
              <w:left w:val="single" w:color="000000" w:sz="6" w:space="0"/>
              <w:bottom w:val="single" w:color="000000" w:sz="6" w:space="0"/>
              <w:right w:val="single" w:color="000000" w:sz="6" w:space="0"/>
            </w:tcBorders>
            <w:tcW w:w="1273" w:type="dxa"/>
            <w:textDirection w:val="lrTb"/>
            <w:noWrap w:val="false"/>
          </w:tcPr>
          <w:p>
            <w:pPr>
              <w:pStyle w:val="999"/>
              <w:pBdr/>
              <w:spacing w:line="170" w:lineRule="atLeast"/>
              <w:ind w:right="-5" w:left="156"/>
              <w:rPr>
                <w:b/>
                <w:sz w:val="14"/>
              </w:rPr>
            </w:pPr>
            <w:r>
              <w:rPr>
                <w:b/>
                <w:spacing w:val="-2"/>
                <w:sz w:val="14"/>
              </w:rPr>
              <w:t xml:space="preserve">Eventuale</w:t>
            </w:r>
            <w:r>
              <w:rPr>
                <w:b/>
                <w:spacing w:val="40"/>
                <w:sz w:val="14"/>
              </w:rPr>
              <w:t xml:space="preserve"> </w:t>
            </w:r>
            <w:r>
              <w:rPr>
                <w:b/>
                <w:spacing w:val="-2"/>
                <w:sz w:val="14"/>
              </w:rPr>
              <w:t xml:space="preserve">cofinanziamento</w:t>
            </w:r>
            <w:r>
              <w:rPr>
                <w:b/>
                <w:spacing w:val="40"/>
                <w:sz w:val="14"/>
              </w:rPr>
              <w:t xml:space="preserve"> </w:t>
            </w:r>
            <w:r>
              <w:rPr>
                <w:b/>
                <w:sz w:val="14"/>
              </w:rPr>
              <w:t xml:space="preserve">pubblico</w:t>
            </w:r>
            <w:r>
              <w:rPr>
                <w:b/>
                <w:spacing w:val="40"/>
                <w:sz w:val="14"/>
              </w:rPr>
              <w:t xml:space="preserve"> </w:t>
            </w:r>
            <w:r>
              <w:rPr>
                <w:b/>
                <w:sz w:val="14"/>
              </w:rPr>
              <w:t xml:space="preserve">a</w:t>
            </w:r>
            <w:r>
              <w:rPr>
                <w:b/>
                <w:spacing w:val="40"/>
                <w:sz w:val="14"/>
              </w:rPr>
              <w:t xml:space="preserve"> </w:t>
            </w:r>
            <w:r>
              <w:rPr>
                <w:b/>
                <w:sz w:val="14"/>
              </w:rPr>
              <w:t xml:space="preserve">valere</w:t>
            </w:r>
            <w:r>
              <w:rPr>
                <w:b/>
                <w:spacing w:val="40"/>
                <w:sz w:val="14"/>
              </w:rPr>
              <w:t xml:space="preserve"> </w:t>
            </w:r>
            <w:r>
              <w:rPr>
                <w:b/>
                <w:sz w:val="14"/>
              </w:rPr>
              <w:t xml:space="preserve">su</w:t>
            </w:r>
            <w:r>
              <w:rPr>
                <w:b/>
                <w:spacing w:val="40"/>
                <w:sz w:val="14"/>
              </w:rPr>
              <w:t xml:space="preserve"> </w:t>
            </w:r>
            <w:r>
              <w:rPr>
                <w:b/>
                <w:sz w:val="14"/>
              </w:rPr>
              <w:t xml:space="preserve">risorse</w:t>
            </w:r>
            <w:r>
              <w:rPr>
                <w:b/>
                <w:spacing w:val="40"/>
                <w:sz w:val="14"/>
              </w:rPr>
              <w:t xml:space="preserve"> </w:t>
            </w:r>
            <w:r>
              <w:rPr>
                <w:b/>
                <w:sz w:val="14"/>
              </w:rPr>
              <w:t xml:space="preserve">di</w:t>
            </w:r>
            <w:r>
              <w:rPr>
                <w:b/>
                <w:spacing w:val="40"/>
                <w:sz w:val="14"/>
              </w:rPr>
              <w:t xml:space="preserve"> </w:t>
            </w:r>
            <w:r>
              <w:rPr>
                <w:b/>
                <w:sz w:val="14"/>
              </w:rPr>
              <w:t xml:space="preserve">cui</w:t>
            </w:r>
            <w:r>
              <w:rPr>
                <w:b/>
                <w:spacing w:val="40"/>
                <w:sz w:val="14"/>
              </w:rPr>
              <w:t xml:space="preserve"> </w:t>
            </w:r>
            <w:r>
              <w:rPr>
                <w:b/>
                <w:spacing w:val="-6"/>
                <w:sz w:val="14"/>
              </w:rPr>
              <w:t xml:space="preserve">al</w:t>
            </w:r>
            <w:r>
              <w:rPr>
                <w:b/>
                <w:sz w:val="14"/>
              </w:rPr>
            </w:r>
          </w:p>
        </w:tc>
        <w:tc>
          <w:tcPr>
            <w:tcBorders>
              <w:top w:val="single" w:color="000000" w:sz="6" w:space="0"/>
              <w:left w:val="single" w:color="000000" w:sz="6" w:space="0"/>
              <w:bottom w:val="none" w:color="000000" w:sz="4" w:space="0"/>
            </w:tcBorders>
            <w:tcW w:w="7185" w:type="dxa"/>
            <w:vMerge w:val="restart"/>
            <w:textDirection w:val="lrTb"/>
            <w:noWrap w:val="false"/>
          </w:tcPr>
          <w:p>
            <w:pPr>
              <w:pStyle w:val="999"/>
              <w:pBdr/>
              <w:spacing/>
              <w:ind/>
              <w:rPr>
                <w:i/>
                <w:sz w:val="14"/>
              </w:rPr>
            </w:pPr>
            <w:r>
              <w:rPr>
                <w:i/>
                <w:sz w:val="14"/>
              </w:rPr>
            </w:r>
            <w:r>
              <w:rPr>
                <w:i/>
                <w:sz w:val="14"/>
              </w:rPr>
            </w:r>
          </w:p>
          <w:p>
            <w:pPr>
              <w:pStyle w:val="999"/>
              <w:pBdr/>
              <w:spacing/>
              <w:ind/>
              <w:rPr>
                <w:i/>
                <w:sz w:val="14"/>
              </w:rPr>
            </w:pPr>
            <w:r>
              <w:rPr>
                <w:i/>
                <w:sz w:val="14"/>
              </w:rPr>
            </w:r>
            <w:r>
              <w:rPr>
                <w:i/>
                <w:sz w:val="14"/>
              </w:rPr>
            </w:r>
          </w:p>
          <w:p>
            <w:pPr>
              <w:pStyle w:val="999"/>
              <w:pBdr/>
              <w:spacing/>
              <w:ind/>
              <w:rPr>
                <w:i/>
                <w:sz w:val="14"/>
              </w:rPr>
            </w:pPr>
            <w:r>
              <w:rPr>
                <w:i/>
                <w:sz w:val="14"/>
              </w:rPr>
            </w:r>
            <w:r>
              <w:rPr>
                <w:i/>
                <w:sz w:val="14"/>
              </w:rPr>
            </w:r>
          </w:p>
          <w:p>
            <w:pPr>
              <w:pStyle w:val="999"/>
              <w:pBdr/>
              <w:spacing w:before="93"/>
              <w:ind/>
              <w:rPr>
                <w:i/>
                <w:sz w:val="14"/>
              </w:rPr>
            </w:pPr>
            <w:r>
              <w:rPr>
                <w:i/>
                <w:sz w:val="14"/>
              </w:rPr>
            </w:r>
            <w:r>
              <w:rPr>
                <w:i/>
                <w:sz w:val="14"/>
              </w:rPr>
            </w:r>
          </w:p>
          <w:p>
            <w:pPr>
              <w:pStyle w:val="999"/>
              <w:pBdr/>
              <w:spacing/>
              <w:ind w:left="156"/>
              <w:rPr>
                <w:b/>
                <w:sz w:val="14"/>
              </w:rPr>
            </w:pPr>
            <w:r>
              <w:rPr>
                <w:b/>
                <w:spacing w:val="-10"/>
                <w:sz w:val="14"/>
              </w:rPr>
              <w:t xml:space="preserve">€</w:t>
            </w:r>
            <w:r>
              <w:rPr>
                <w:b/>
                <w:sz w:val="14"/>
              </w:rPr>
            </w:r>
          </w:p>
        </w:tc>
      </w:tr>
      <w:tr>
        <w:trPr>
          <w:trHeight w:val="276"/>
        </w:trPr>
        <w:tc>
          <w:tcPr>
            <w:tcBorders>
              <w:top w:val="none" w:color="000000" w:sz="4" w:space="0"/>
              <w:left w:val="single" w:color="000000" w:sz="6" w:space="0"/>
              <w:bottom w:val="none" w:color="000000" w:sz="4" w:space="0"/>
              <w:right w:val="single" w:color="000000" w:sz="6" w:space="0"/>
            </w:tcBorders>
            <w:tcW w:w="1090"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op w:val="single" w:color="000000" w:sz="6" w:space="0"/>
              <w:left w:val="single" w:color="000000" w:sz="6" w:space="0"/>
              <w:bottom w:val="single" w:color="000000" w:sz="6" w:space="0"/>
              <w:right w:val="single" w:color="000000" w:sz="6" w:space="0"/>
            </w:tcBorders>
            <w:tcW w:w="1273" w:type="dxa"/>
            <w:vMerge w:val="restart"/>
            <w:textDirection w:val="lrTb"/>
            <w:noWrap w:val="false"/>
          </w:tcPr>
          <w:p>
            <w:pPr>
              <w:pStyle w:val="999"/>
              <w:pBdr/>
              <w:spacing/>
              <w:ind w:right="-15" w:firstLine="372" w:left="156"/>
              <w:jc w:val="both"/>
              <w:rPr>
                <w:b/>
                <w:sz w:val="14"/>
              </w:rPr>
            </w:pPr>
            <w:r>
              <w:rPr>
                <w:b/>
                <w:sz w:val="14"/>
              </w:rPr>
              <mc:AlternateContent>
                <mc:Choice Requires="wpg">
                  <w:drawing>
                    <wp:anchor xmlns:wp="http://schemas.openxmlformats.org/drawingml/2006/wordprocessingDrawing" xmlns:wp14="http://schemas.microsoft.com/office/word/2010/wordprocessingDrawing" distT="0" distB="0" distL="0" distR="0" simplePos="0" relativeHeight="251670528" behindDoc="1" locked="0" layoutInCell="1" allowOverlap="1">
                      <wp:simplePos x="0" y="0"/>
                      <wp:positionH relativeFrom="column">
                        <wp:posOffset>94932</wp:posOffset>
                      </wp:positionH>
                      <wp:positionV relativeFrom="paragraph">
                        <wp:posOffset>92380</wp:posOffset>
                      </wp:positionV>
                      <wp:extent cx="133350" cy="8255"/>
                      <wp:effectExtent l="0" t="0" r="0" b="0"/>
                      <wp:wrapNone/>
                      <wp:docPr id="13" name="Group 25"/>
                      <wp:cNvGraphicFramePr/>
                      <a:graphic xmlns:a="http://schemas.openxmlformats.org/drawingml/2006/main">
                        <a:graphicData uri="http://schemas.microsoft.com/office/word/2010/wordprocessingGroup">
                          <wpg:wgp>
                            <wpg:cNvGrpSpPr/>
                            <wpg:grpSpPr bwMode="auto">
                              <a:xfrm>
                                <a:off x="0" y="0"/>
                                <a:ext cx="133350" cy="8255"/>
                                <a:chOff x="0" y="0"/>
                                <a:chExt cx="133350" cy="8255"/>
                              </a:xfrm>
                            </wpg:grpSpPr>
                            <wps:wsp>
                              <wps:cNvPr id="0" name=""/>
                              <wps:cNvSpPr/>
                              <wps:spPr bwMode="auto">
                                <a:xfrm>
                                  <a:off x="0" y="4043"/>
                                  <a:ext cx="133350" cy="1270"/>
                                </a:xfrm>
                                <a:custGeom>
                                  <a:avLst/>
                                  <a:gdLst/>
                                  <a:ahLst/>
                                  <a:cxnLst/>
                                  <a:rect l="l" t="t" r="r" b="b"/>
                                  <a:pathLst>
                                    <a:path w="133350" fill="norm" stroke="1" extrusionOk="0">
                                      <a:moveTo>
                                        <a:pt x="0" y="0"/>
                                      </a:moveTo>
                                      <a:lnTo>
                                        <a:pt x="132816" y="0"/>
                                      </a:lnTo>
                                    </a:path>
                                  </a:pathLst>
                                </a:custGeom>
                                <a:ln w="8089">
                                  <a:solidFill>
                                    <a:srgbClr val="000000"/>
                                  </a:solidFill>
                                  <a:prstDash val="solid"/>
                                </a:ln>
                              </wps:spPr>
                              <wps:bodyPr rot="0">
                                <a:prstTxWarp prst="textNoShape">
                                  <a:avLst/>
                                </a:prstTxWarp>
                                <a:noAutofit/>
                              </wps:bodyPr>
                            </wps:wsp>
                          </wpg:wgp>
                        </a:graphicData>
                      </a:graphic>
                    </wp:anchor>
                  </w:drawing>
                </mc:Choice>
                <mc:Fallback>
                  <w:pict>
                    <v:group id="group 19" o:spid="_x0000_s0000" style="position:absolute;z-index:-251670528;o:allowoverlap:true;o:allowincell:true;mso-position-horizontal-relative:text;margin-left:7.47pt;mso-position-horizontal:absolute;mso-position-vertical-relative:text;margin-top:7.27pt;mso-position-vertical:absolute;width:10.50pt;height:0.65pt;mso-wrap-distance-left:0.00pt;mso-wrap-distance-top:0.00pt;mso-wrap-distance-right:0.00pt;mso-wrap-distance-bottom:0.00pt;" coordorigin="0,0" coordsize="1333,82">
                      <v:shape id="shape 20" o:spid="_x0000_s20" style="position:absolute;left:0;top:40;width:1333;height:12;visibility:visible;" path="m0,0l99600,0e" coordsize="100000,100000" filled="f" strokecolor="#000000" strokeweight="0.64pt">
                        <v:path textboxrect="0,0,100000,100000"/>
                        <v:stroke dashstyle="solid"/>
                      </v:shape>
                    </v:group>
                  </w:pict>
                </mc:Fallback>
              </mc:AlternateContent>
            </w:r>
            <w:r>
              <w:rPr>
                <w:b/>
                <w:sz w:val="14"/>
              </w:rPr>
              <w:t xml:space="preserve">(indicare il</w:t>
            </w:r>
            <w:r>
              <w:rPr>
                <w:b/>
                <w:spacing w:val="40"/>
                <w:sz w:val="14"/>
              </w:rPr>
              <w:t xml:space="preserve"> </w:t>
            </w:r>
            <w:r>
              <w:rPr>
                <w:b/>
                <w:sz w:val="14"/>
              </w:rPr>
              <w:t xml:space="preserve">canale finanziario</w:t>
            </w:r>
            <w:r>
              <w:rPr>
                <w:b/>
                <w:spacing w:val="40"/>
                <w:sz w:val="14"/>
              </w:rPr>
              <w:t xml:space="preserve"> </w:t>
            </w:r>
            <w:r>
              <w:rPr>
                <w:b/>
                <w:sz w:val="14"/>
              </w:rPr>
              <w:t xml:space="preserve">in caso di</w:t>
            </w:r>
            <w:r>
              <w:rPr>
                <w:b/>
                <w:spacing w:val="40"/>
                <w:sz w:val="14"/>
              </w:rPr>
              <w:t xml:space="preserve"> </w:t>
            </w:r>
            <w:r>
              <w:rPr>
                <w:b/>
                <w:spacing w:val="-2"/>
                <w:sz w:val="14"/>
              </w:rPr>
              <w:t xml:space="preserve">cofinanziamento</w:t>
            </w:r>
            <w:r>
              <w:rPr>
                <w:b/>
                <w:sz w:val="14"/>
              </w:rPr>
            </w:r>
          </w:p>
          <w:p>
            <w:pPr>
              <w:pStyle w:val="999"/>
              <w:pBdr/>
              <w:spacing w:line="158" w:lineRule="exact"/>
              <w:ind w:left="156"/>
              <w:rPr>
                <w:b/>
                <w:sz w:val="14"/>
              </w:rPr>
            </w:pPr>
            <w:r>
              <w:rPr>
                <w:b/>
                <w:spacing w:val="-2"/>
                <w:sz w:val="14"/>
              </w:rPr>
              <w:t xml:space="preserve">pubblico)</w:t>
            </w:r>
            <w:r>
              <w:rPr>
                <w:b/>
                <w:sz w:val="14"/>
              </w:rPr>
            </w:r>
          </w:p>
        </w:tc>
        <w:tc>
          <w:tcPr>
            <w:tcBorders>
              <w:top w:val="none" w:color="000000" w:sz="4" w:space="0"/>
              <w:left w:val="single" w:color="000000" w:sz="6" w:space="0"/>
              <w:bottom w:val="none" w:color="000000" w:sz="4" w:space="0"/>
            </w:tcBorders>
            <w:tcW w:w="7185" w:type="dxa"/>
            <w:vMerge w:val="continue"/>
            <w:textDirection w:val="lrTb"/>
            <w:noWrap w:val="false"/>
          </w:tcPr>
          <w:p>
            <w:pPr>
              <w:pBdr/>
              <w:spacing/>
              <w:ind/>
              <w:rPr>
                <w:sz w:val="2"/>
                <w:szCs w:val="2"/>
              </w:rPr>
            </w:pPr>
            <w:r>
              <w:rPr>
                <w:sz w:val="2"/>
                <w:szCs w:val="2"/>
              </w:rPr>
            </w:r>
            <w:r>
              <w:rPr>
                <w:sz w:val="2"/>
                <w:szCs w:val="2"/>
              </w:rPr>
            </w:r>
          </w:p>
        </w:tc>
      </w:tr>
      <w:tr>
        <w:trPr>
          <w:trHeight w:val="562"/>
        </w:trPr>
        <w:tc>
          <w:tcPr>
            <w:tcBorders>
              <w:top w:val="none" w:color="000000" w:sz="4" w:space="0"/>
              <w:left w:val="single" w:color="000000" w:sz="6" w:space="0"/>
              <w:bottom w:val="none" w:color="000000" w:sz="4" w:space="0"/>
              <w:right w:val="single" w:color="000000" w:sz="6" w:space="0"/>
            </w:tcBorders>
            <w:tcW w:w="1090" w:type="dxa"/>
            <w:vMerge w:val="restart"/>
            <w:textDirection w:val="lrTb"/>
            <w:noWrap w:val="false"/>
          </w:tcPr>
          <w:p>
            <w:pPr>
              <w:pStyle w:val="999"/>
              <w:pBdr/>
              <w:spacing w:before="143"/>
              <w:ind w:right="15" w:left="156"/>
              <w:rPr>
                <w:b/>
                <w:sz w:val="14"/>
              </w:rPr>
            </w:pPr>
            <w:r>
              <w:rPr>
                <w:b/>
                <w:spacing w:val="-2"/>
                <w:sz w:val="14"/>
              </w:rPr>
              <w:t xml:space="preserve">Quadro</w:t>
            </w:r>
            <w:r>
              <w:rPr>
                <w:b/>
                <w:spacing w:val="40"/>
                <w:sz w:val="14"/>
              </w:rPr>
              <w:t xml:space="preserve"> </w:t>
            </w:r>
            <w:r>
              <w:rPr>
                <w:b/>
                <w:spacing w:val="-2"/>
                <w:sz w:val="14"/>
              </w:rPr>
              <w:t xml:space="preserve">finanziario</w:t>
            </w:r>
            <w:r>
              <w:rPr>
                <w:b/>
                <w:spacing w:val="40"/>
                <w:sz w:val="14"/>
              </w:rPr>
              <w:t xml:space="preserve"> </w:t>
            </w:r>
            <w:r>
              <w:rPr>
                <w:b/>
                <w:spacing w:val="-2"/>
                <w:sz w:val="14"/>
              </w:rPr>
              <w:t xml:space="preserve">dell’operazione</w:t>
            </w:r>
            <w:r>
              <w:rPr>
                <w:b/>
                <w:sz w:val="14"/>
              </w:rPr>
            </w:r>
          </w:p>
        </w:tc>
        <w:tc>
          <w:tcPr>
            <w:tcBorders>
              <w:top w:val="none" w:color="000000" w:sz="4" w:space="0"/>
              <w:left w:val="single" w:color="000000" w:sz="6" w:space="0"/>
              <w:bottom w:val="single" w:color="000000" w:sz="6" w:space="0"/>
              <w:right w:val="single" w:color="000000" w:sz="6" w:space="0"/>
            </w:tcBorders>
            <w:tcW w:w="1273" w:type="dxa"/>
            <w:vMerge w:val="continue"/>
            <w:textDirection w:val="lrTb"/>
            <w:noWrap w:val="false"/>
          </w:tcPr>
          <w:p>
            <w:pPr>
              <w:pBdr/>
              <w:spacing/>
              <w:ind/>
              <w:rPr>
                <w:sz w:val="2"/>
                <w:szCs w:val="2"/>
              </w:rPr>
            </w:pPr>
            <w:r>
              <w:rPr>
                <w:sz w:val="2"/>
                <w:szCs w:val="2"/>
              </w:rPr>
            </w:r>
            <w:r>
              <w:rPr>
                <w:sz w:val="2"/>
                <w:szCs w:val="2"/>
              </w:rPr>
            </w:r>
          </w:p>
        </w:tc>
        <w:tc>
          <w:tcPr>
            <w:tcBorders>
              <w:top w:val="none" w:color="000000" w:sz="4" w:space="0"/>
              <w:left w:val="single" w:color="000000" w:sz="6" w:space="0"/>
              <w:bottom w:val="single" w:color="000000" w:sz="6" w:space="0"/>
            </w:tcBorders>
            <w:tcW w:w="7185"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r>
      <w:tr>
        <w:trPr>
          <w:trHeight w:val="2065"/>
        </w:trPr>
        <w:tc>
          <w:tcPr>
            <w:tcBorders>
              <w:top w:val="none" w:color="000000" w:sz="4" w:space="0"/>
              <w:left w:val="single" w:color="000000" w:sz="6" w:space="0"/>
              <w:bottom w:val="none" w:color="000000" w:sz="4" w:space="0"/>
              <w:right w:val="single" w:color="000000" w:sz="6" w:space="0"/>
            </w:tcBorders>
            <w:tcW w:w="1090" w:type="dxa"/>
            <w:vMerge w:val="continue"/>
            <w:textDirection w:val="lrTb"/>
            <w:noWrap w:val="false"/>
          </w:tcPr>
          <w:p>
            <w:pPr>
              <w:pBdr/>
              <w:spacing/>
              <w:ind/>
              <w:rPr>
                <w:sz w:val="2"/>
                <w:szCs w:val="2"/>
              </w:rPr>
            </w:pPr>
            <w:r>
              <w:rPr>
                <w:sz w:val="2"/>
                <w:szCs w:val="2"/>
              </w:rPr>
            </w:r>
            <w:r>
              <w:rPr>
                <w:sz w:val="2"/>
                <w:szCs w:val="2"/>
              </w:rPr>
            </w:r>
          </w:p>
        </w:tc>
        <w:tc>
          <w:tcPr>
            <w:tcBorders>
              <w:top w:val="single" w:color="000000" w:sz="6" w:space="0"/>
              <w:left w:val="single" w:color="000000" w:sz="6" w:space="0"/>
              <w:bottom w:val="single" w:color="000000" w:sz="6" w:space="0"/>
              <w:right w:val="single" w:color="000000" w:sz="6" w:space="0"/>
            </w:tcBorders>
            <w:tcW w:w="1273" w:type="dxa"/>
            <w:textDirection w:val="lrTb"/>
            <w:noWrap w:val="false"/>
          </w:tcPr>
          <w:p>
            <w:pPr>
              <w:pStyle w:val="999"/>
              <w:pBdr/>
              <w:tabs>
                <w:tab w:val="left" w:leader="none" w:pos="1091"/>
              </w:tabs>
              <w:spacing w:line="170" w:lineRule="atLeast"/>
              <w:ind w:right="-15" w:left="156"/>
              <w:rPr>
                <w:b/>
                <w:sz w:val="14"/>
              </w:rPr>
            </w:pPr>
            <w:r>
              <w:rPr>
                <w:b/>
                <w:spacing w:val="-2"/>
                <w:sz w:val="14"/>
              </w:rPr>
              <w:t xml:space="preserve">Eventuale</w:t>
            </w:r>
            <w:r>
              <w:rPr>
                <w:b/>
                <w:spacing w:val="40"/>
                <w:sz w:val="14"/>
              </w:rPr>
              <w:t xml:space="preserve"> </w:t>
            </w:r>
            <w:r>
              <w:rPr>
                <w:b/>
                <w:spacing w:val="-2"/>
                <w:sz w:val="14"/>
              </w:rPr>
              <w:t xml:space="preserve">cofinanziamento</w:t>
            </w:r>
            <w:r>
              <w:rPr>
                <w:b/>
                <w:spacing w:val="40"/>
                <w:sz w:val="14"/>
              </w:rPr>
              <w:t xml:space="preserve"> </w:t>
            </w:r>
            <w:r>
              <w:rPr>
                <w:b/>
                <w:sz w:val="14"/>
              </w:rPr>
              <w:t xml:space="preserve">privato</w:t>
            </w:r>
            <w:r>
              <w:rPr>
                <w:b/>
                <w:spacing w:val="-8"/>
                <w:sz w:val="14"/>
              </w:rPr>
              <w:t xml:space="preserve"> </w:t>
            </w:r>
            <w:r>
              <w:rPr>
                <w:b/>
                <w:sz w:val="14"/>
              </w:rPr>
              <w:t xml:space="preserve">(specificare</w:t>
            </w:r>
            <w:r>
              <w:rPr>
                <w:b/>
                <w:spacing w:val="40"/>
                <w:sz w:val="14"/>
              </w:rPr>
              <w:t xml:space="preserve"> </w:t>
            </w:r>
            <w:r>
              <w:rPr>
                <w:b/>
                <w:sz w:val="14"/>
              </w:rPr>
              <w:t xml:space="preserve">gli</w:t>
            </w:r>
            <w:r>
              <w:rPr>
                <w:b/>
                <w:spacing w:val="80"/>
                <w:sz w:val="14"/>
              </w:rPr>
              <w:t xml:space="preserve"> </w:t>
            </w:r>
            <w:r>
              <w:rPr>
                <w:b/>
                <w:sz w:val="14"/>
              </w:rPr>
              <w:t xml:space="preserve">elementi</w:t>
            </w:r>
            <w:r>
              <w:rPr>
                <w:b/>
                <w:spacing w:val="80"/>
                <w:sz w:val="14"/>
              </w:rPr>
              <w:t xml:space="preserve"> </w:t>
            </w:r>
            <w:r>
              <w:rPr>
                <w:b/>
                <w:sz w:val="14"/>
              </w:rPr>
              <w:t xml:space="preserve">sui</w:t>
            </w:r>
            <w:r>
              <w:rPr>
                <w:b/>
                <w:spacing w:val="40"/>
                <w:sz w:val="14"/>
              </w:rPr>
              <w:t xml:space="preserve"> </w:t>
            </w:r>
            <w:r>
              <w:rPr>
                <w:b/>
                <w:sz w:val="14"/>
              </w:rPr>
              <w:t xml:space="preserve">quali</w:t>
            </w:r>
            <w:r>
              <w:rPr>
                <w:b/>
                <w:spacing w:val="30"/>
                <w:sz w:val="14"/>
              </w:rPr>
              <w:t xml:space="preserve"> </w:t>
            </w:r>
            <w:r>
              <w:rPr>
                <w:b/>
                <w:sz w:val="14"/>
              </w:rPr>
              <w:t xml:space="preserve">interviene</w:t>
            </w:r>
            <w:r>
              <w:rPr>
                <w:b/>
                <w:spacing w:val="30"/>
                <w:sz w:val="14"/>
              </w:rPr>
              <w:t xml:space="preserve"> </w:t>
            </w:r>
            <w:r>
              <w:rPr>
                <w:b/>
                <w:sz w:val="14"/>
              </w:rPr>
              <w:t xml:space="preserve">il</w:t>
            </w:r>
            <w:r>
              <w:rPr>
                <w:b/>
                <w:spacing w:val="40"/>
                <w:sz w:val="14"/>
              </w:rPr>
              <w:t xml:space="preserve"> </w:t>
            </w:r>
            <w:r>
              <w:rPr>
                <w:b/>
                <w:sz w:val="14"/>
              </w:rPr>
              <w:t xml:space="preserve">soggetto</w:t>
            </w:r>
            <w:r>
              <w:rPr>
                <w:b/>
                <w:spacing w:val="8"/>
                <w:sz w:val="14"/>
              </w:rPr>
              <w:t xml:space="preserve"> </w:t>
            </w:r>
            <w:r>
              <w:rPr>
                <w:b/>
                <w:sz w:val="14"/>
              </w:rPr>
              <w:t xml:space="preserve">privato</w:t>
            </w:r>
            <w:r>
              <w:rPr>
                <w:b/>
                <w:spacing w:val="8"/>
                <w:sz w:val="14"/>
              </w:rPr>
              <w:t xml:space="preserve"> </w:t>
            </w:r>
            <w:r>
              <w:rPr>
                <w:b/>
                <w:sz w:val="14"/>
              </w:rPr>
              <w:t xml:space="preserve">e</w:t>
            </w:r>
            <w:r>
              <w:rPr>
                <w:b/>
                <w:spacing w:val="40"/>
                <w:sz w:val="14"/>
              </w:rPr>
              <w:t xml:space="preserve"> </w:t>
            </w:r>
            <w:r>
              <w:rPr>
                <w:b/>
                <w:sz w:val="14"/>
              </w:rPr>
              <w:t xml:space="preserve">le</w:t>
            </w:r>
            <w:r>
              <w:rPr>
                <w:b/>
                <w:spacing w:val="80"/>
                <w:sz w:val="14"/>
              </w:rPr>
              <w:t xml:space="preserve"> </w:t>
            </w:r>
            <w:r>
              <w:rPr>
                <w:b/>
                <w:sz w:val="14"/>
              </w:rPr>
              <w:t xml:space="preserve">modalità</w:t>
            </w:r>
            <w:r>
              <w:rPr>
                <w:b/>
                <w:spacing w:val="80"/>
                <w:sz w:val="14"/>
              </w:rPr>
              <w:t xml:space="preserve"> </w:t>
            </w:r>
            <w:r>
              <w:rPr>
                <w:b/>
                <w:sz w:val="14"/>
              </w:rPr>
              <w:t xml:space="preserve">di</w:t>
            </w:r>
            <w:r>
              <w:rPr>
                <w:b/>
                <w:spacing w:val="40"/>
                <w:sz w:val="14"/>
              </w:rPr>
              <w:t xml:space="preserve"> </w:t>
            </w:r>
            <w:r>
              <w:rPr>
                <w:b/>
                <w:spacing w:val="-2"/>
                <w:sz w:val="14"/>
              </w:rPr>
              <w:t xml:space="preserve">selezione</w:t>
            </w:r>
            <w:r>
              <w:rPr>
                <w:b/>
                <w:sz w:val="14"/>
              </w:rPr>
              <w:tab/>
            </w:r>
            <w:r>
              <w:rPr>
                <w:b/>
                <w:spacing w:val="-4"/>
                <w:sz w:val="14"/>
              </w:rPr>
              <w:t xml:space="preserve">del</w:t>
            </w:r>
            <w:r>
              <w:rPr>
                <w:b/>
                <w:spacing w:val="40"/>
                <w:sz w:val="14"/>
              </w:rPr>
              <w:t xml:space="preserve"> </w:t>
            </w:r>
            <w:r>
              <w:rPr>
                <w:b/>
                <w:sz w:val="14"/>
              </w:rPr>
              <w:t xml:space="preserve">soggetto</w:t>
            </w:r>
            <w:r>
              <w:rPr>
                <w:b/>
                <w:spacing w:val="1"/>
                <w:sz w:val="14"/>
              </w:rPr>
              <w:t xml:space="preserve"> </w:t>
            </w:r>
            <w:r>
              <w:rPr>
                <w:b/>
                <w:sz w:val="14"/>
              </w:rPr>
              <w:t xml:space="preserve">mediante</w:t>
            </w:r>
            <w:r>
              <w:rPr>
                <w:b/>
                <w:spacing w:val="40"/>
                <w:sz w:val="14"/>
              </w:rPr>
              <w:t xml:space="preserve"> </w:t>
            </w:r>
            <w:r>
              <w:rPr>
                <w:b/>
                <w:sz w:val="14"/>
              </w:rPr>
              <w:t xml:space="preserve">la</w:t>
            </w:r>
            <w:r>
              <w:rPr>
                <w:b/>
                <w:spacing w:val="32"/>
                <w:sz w:val="14"/>
              </w:rPr>
              <w:t xml:space="preserve"> </w:t>
            </w:r>
            <w:r>
              <w:rPr>
                <w:b/>
                <w:sz w:val="14"/>
              </w:rPr>
              <w:t xml:space="preserve">predisposizione</w:t>
            </w:r>
            <w:r>
              <w:rPr>
                <w:b/>
                <w:spacing w:val="40"/>
                <w:sz w:val="14"/>
              </w:rPr>
              <w:t xml:space="preserve"> </w:t>
            </w:r>
            <w:r>
              <w:rPr>
                <w:b/>
                <w:sz w:val="14"/>
              </w:rPr>
              <w:t xml:space="preserve">di</w:t>
            </w:r>
            <w:r>
              <w:rPr>
                <w:b/>
                <w:spacing w:val="15"/>
                <w:sz w:val="14"/>
              </w:rPr>
              <w:t xml:space="preserve"> </w:t>
            </w:r>
            <w:r>
              <w:rPr>
                <w:b/>
                <w:sz w:val="14"/>
              </w:rPr>
              <w:t xml:space="preserve">un</w:t>
            </w:r>
            <w:r>
              <w:rPr>
                <w:b/>
                <w:spacing w:val="15"/>
                <w:sz w:val="14"/>
              </w:rPr>
              <w:t xml:space="preserve"> </w:t>
            </w:r>
            <w:r>
              <w:rPr>
                <w:b/>
                <w:sz w:val="14"/>
              </w:rPr>
              <w:t xml:space="preserve">allegato</w:t>
            </w:r>
            <w:r>
              <w:rPr>
                <w:b/>
                <w:spacing w:val="15"/>
                <w:sz w:val="14"/>
              </w:rPr>
              <w:t xml:space="preserve"> </w:t>
            </w:r>
            <w:r>
              <w:rPr>
                <w:b/>
                <w:sz w:val="14"/>
              </w:rPr>
              <w:t xml:space="preserve">alla</w:t>
            </w:r>
            <w:r>
              <w:rPr>
                <w:b/>
                <w:spacing w:val="40"/>
                <w:sz w:val="14"/>
              </w:rPr>
              <w:t xml:space="preserve"> </w:t>
            </w:r>
            <w:r>
              <w:rPr>
                <w:b/>
                <w:sz w:val="14"/>
              </w:rPr>
              <w:t xml:space="preserve">presente</w:t>
            </w:r>
            <w:r>
              <w:rPr>
                <w:b/>
                <w:spacing w:val="-8"/>
                <w:sz w:val="14"/>
              </w:rPr>
              <w:t xml:space="preserve"> </w:t>
            </w:r>
            <w:r>
              <w:rPr>
                <w:b/>
                <w:sz w:val="14"/>
              </w:rPr>
              <w:t xml:space="preserve">scheda)</w:t>
            </w:r>
            <w:r>
              <w:rPr>
                <w:b/>
                <w:sz w:val="14"/>
              </w:rPr>
            </w:r>
          </w:p>
        </w:tc>
        <w:tc>
          <w:tcPr>
            <w:tcBorders>
              <w:top w:val="single" w:color="000000" w:sz="6" w:space="0"/>
              <w:left w:val="single" w:color="000000" w:sz="6" w:space="0"/>
              <w:bottom w:val="single" w:color="000000" w:sz="6" w:space="0"/>
            </w:tcBorders>
            <w:tcW w:w="7185" w:type="dxa"/>
            <w:textDirection w:val="lrTb"/>
            <w:noWrap w:val="false"/>
          </w:tcPr>
          <w:p>
            <w:pPr>
              <w:pStyle w:val="999"/>
              <w:pBdr/>
              <w:spacing/>
              <w:ind/>
              <w:rPr>
                <w:i/>
                <w:sz w:val="14"/>
              </w:rPr>
            </w:pPr>
            <w:r>
              <w:rPr>
                <w:i/>
                <w:sz w:val="14"/>
              </w:rPr>
            </w:r>
            <w:r>
              <w:rPr>
                <w:i/>
                <w:sz w:val="14"/>
              </w:rPr>
            </w:r>
          </w:p>
          <w:p>
            <w:pPr>
              <w:pStyle w:val="999"/>
              <w:pBdr/>
              <w:spacing/>
              <w:ind/>
              <w:rPr>
                <w:i/>
                <w:sz w:val="14"/>
              </w:rPr>
            </w:pPr>
            <w:r>
              <w:rPr>
                <w:i/>
                <w:sz w:val="14"/>
              </w:rPr>
            </w:r>
            <w:r>
              <w:rPr>
                <w:i/>
                <w:sz w:val="14"/>
              </w:rPr>
            </w:r>
          </w:p>
          <w:p>
            <w:pPr>
              <w:pStyle w:val="999"/>
              <w:pBdr/>
              <w:spacing/>
              <w:ind/>
              <w:rPr>
                <w:i/>
                <w:sz w:val="14"/>
              </w:rPr>
            </w:pPr>
            <w:r>
              <w:rPr>
                <w:i/>
                <w:sz w:val="14"/>
              </w:rPr>
            </w:r>
            <w:r>
              <w:rPr>
                <w:i/>
                <w:sz w:val="14"/>
              </w:rPr>
            </w:r>
          </w:p>
          <w:p>
            <w:pPr>
              <w:pStyle w:val="999"/>
              <w:pBdr/>
              <w:spacing/>
              <w:ind/>
              <w:rPr>
                <w:i/>
                <w:sz w:val="14"/>
              </w:rPr>
            </w:pPr>
            <w:r>
              <w:rPr>
                <w:i/>
                <w:sz w:val="14"/>
              </w:rPr>
            </w:r>
            <w:r>
              <w:rPr>
                <w:i/>
                <w:sz w:val="14"/>
              </w:rPr>
            </w:r>
          </w:p>
          <w:p>
            <w:pPr>
              <w:pStyle w:val="999"/>
              <w:pBdr/>
              <w:spacing w:before="93"/>
              <w:ind/>
              <w:rPr>
                <w:i/>
                <w:sz w:val="14"/>
              </w:rPr>
            </w:pPr>
            <w:r>
              <w:rPr>
                <w:i/>
                <w:sz w:val="14"/>
              </w:rPr>
            </w:r>
            <w:r>
              <w:rPr>
                <w:i/>
                <w:sz w:val="14"/>
              </w:rPr>
            </w:r>
          </w:p>
          <w:p>
            <w:pPr>
              <w:pStyle w:val="999"/>
              <w:pBdr/>
              <w:spacing/>
              <w:ind w:left="107"/>
              <w:rPr>
                <w:b/>
                <w:sz w:val="14"/>
              </w:rPr>
            </w:pPr>
            <w:r>
              <w:rPr>
                <w:b/>
                <w:spacing w:val="-10"/>
                <w:sz w:val="14"/>
              </w:rPr>
              <w:t xml:space="preserve">€</w:t>
            </w:r>
            <w:r>
              <w:rPr>
                <w:b/>
                <w:sz w:val="14"/>
              </w:rPr>
            </w:r>
          </w:p>
        </w:tc>
      </w:tr>
      <w:tr>
        <w:trPr>
          <w:trHeight w:val="349"/>
        </w:trPr>
        <w:tc>
          <w:tcPr>
            <w:tcBorders>
              <w:top w:val="none" w:color="000000" w:sz="4" w:space="0"/>
              <w:left w:val="single" w:color="000000" w:sz="6" w:space="0"/>
              <w:bottom w:val="single" w:color="000000" w:sz="6" w:space="0"/>
              <w:right w:val="single" w:color="000000" w:sz="6" w:space="0"/>
            </w:tcBorders>
            <w:tcW w:w="1090"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273" w:type="dxa"/>
            <w:textDirection w:val="lrTb"/>
            <w:noWrap w:val="false"/>
          </w:tcPr>
          <w:p>
            <w:pPr>
              <w:pStyle w:val="999"/>
              <w:pBdr/>
              <w:tabs>
                <w:tab w:val="left" w:leader="none" w:pos="925"/>
              </w:tabs>
              <w:spacing w:line="170" w:lineRule="atLeast"/>
              <w:ind w:right="-15" w:left="156"/>
              <w:rPr>
                <w:b/>
                <w:sz w:val="14"/>
              </w:rPr>
            </w:pPr>
            <w:r>
              <w:rPr>
                <w:b/>
                <w:spacing w:val="-2"/>
                <w:sz w:val="14"/>
              </w:rPr>
              <w:t xml:space="preserve">Importo</w:t>
            </w:r>
            <w:r>
              <w:rPr>
                <w:b/>
                <w:sz w:val="14"/>
              </w:rPr>
              <w:tab/>
            </w:r>
            <w:r>
              <w:rPr>
                <w:b/>
                <w:spacing w:val="-2"/>
                <w:sz w:val="14"/>
              </w:rPr>
              <w:t xml:space="preserve">totale</w:t>
            </w:r>
            <w:r>
              <w:rPr>
                <w:b/>
                <w:spacing w:val="40"/>
                <w:sz w:val="14"/>
              </w:rPr>
              <w:t xml:space="preserve"> </w:t>
            </w:r>
            <w:r>
              <w:rPr>
                <w:b/>
                <w:spacing w:val="-2"/>
                <w:sz w:val="14"/>
              </w:rPr>
              <w:t xml:space="preserve">intervento</w:t>
            </w:r>
            <w:r>
              <w:rPr>
                <w:b/>
                <w:sz w:val="14"/>
              </w:rPr>
            </w:r>
          </w:p>
        </w:tc>
        <w:tc>
          <w:tcPr>
            <w:tcBorders>
              <w:top w:val="single" w:color="000000" w:sz="6" w:space="0"/>
              <w:left w:val="single" w:color="000000" w:sz="6" w:space="0"/>
            </w:tcBorders>
            <w:tcW w:w="7185" w:type="dxa"/>
            <w:textDirection w:val="lrTb"/>
            <w:noWrap w:val="false"/>
          </w:tcPr>
          <w:p>
            <w:pPr>
              <w:pStyle w:val="999"/>
              <w:pBdr/>
              <w:spacing w:before="93"/>
              <w:ind w:left="107"/>
              <w:rPr>
                <w:b/>
                <w:sz w:val="14"/>
              </w:rPr>
            </w:pPr>
            <w:r>
              <w:rPr>
                <w:b/>
                <w:spacing w:val="-10"/>
                <w:sz w:val="14"/>
              </w:rPr>
              <w:t xml:space="preserve">€</w:t>
            </w:r>
            <w:r>
              <w:rPr>
                <w:b/>
                <w:sz w:val="14"/>
              </w:rPr>
            </w:r>
          </w:p>
        </w:tc>
      </w:tr>
    </w:tbl>
    <w:p>
      <w:pPr>
        <w:pStyle w:val="997"/>
        <w:pBdr/>
        <w:spacing w:before="4"/>
        <w:ind/>
        <w:rPr>
          <w:i/>
        </w:rPr>
      </w:pPr>
      <w:r>
        <w:rPr>
          <w:i/>
        </w:rPr>
      </w:r>
      <w:r>
        <w:rPr>
          <w:i/>
        </w:rPr>
      </w:r>
    </w:p>
    <w:p>
      <w:pPr>
        <w:pStyle w:val="998"/>
        <w:numPr>
          <w:ilvl w:val="1"/>
          <w:numId w:val="1"/>
        </w:numPr>
        <w:pBdr/>
        <w:tabs>
          <w:tab w:val="left" w:leader="none" w:pos="849"/>
        </w:tabs>
        <w:spacing/>
        <w:ind w:hanging="566" w:left="849"/>
        <w:rPr>
          <w:i/>
        </w:rPr>
      </w:pPr>
      <w:r>
        <w:rPr>
          <w:i/>
          <w:color w:val="1f4c78"/>
          <w:spacing w:val="-2"/>
        </w:rPr>
        <w:t xml:space="preserve">Profilo</w:t>
      </w:r>
      <w:r>
        <w:rPr>
          <w:i/>
          <w:color w:val="1f4c78"/>
          <w:spacing w:val="-5"/>
        </w:rPr>
        <w:t xml:space="preserve"> </w:t>
      </w:r>
      <w:r>
        <w:rPr>
          <w:i/>
          <w:color w:val="1f4c78"/>
          <w:spacing w:val="-2"/>
        </w:rPr>
        <w:t xml:space="preserve">pluriennale</w:t>
      </w:r>
      <w:r>
        <w:rPr>
          <w:i/>
          <w:color w:val="1f4c78"/>
          <w:spacing w:val="-5"/>
        </w:rPr>
        <w:t xml:space="preserve"> </w:t>
      </w:r>
      <w:r>
        <w:rPr>
          <w:i/>
          <w:color w:val="1f4c78"/>
          <w:spacing w:val="-2"/>
        </w:rPr>
        <w:t xml:space="preserve">di</w:t>
      </w:r>
      <w:r>
        <w:rPr>
          <w:i/>
          <w:color w:val="1f4c78"/>
          <w:spacing w:val="-5"/>
        </w:rPr>
        <w:t xml:space="preserve"> </w:t>
      </w:r>
      <w:r>
        <w:rPr>
          <w:i/>
          <w:color w:val="1f4c78"/>
          <w:spacing w:val="-2"/>
        </w:rPr>
        <w:t xml:space="preserve">impegni</w:t>
      </w:r>
      <w:r>
        <w:rPr>
          <w:i/>
          <w:color w:val="1f4c78"/>
          <w:spacing w:val="-5"/>
        </w:rPr>
        <w:t xml:space="preserve"> </w:t>
      </w:r>
      <w:r>
        <w:rPr>
          <w:i/>
          <w:color w:val="1f4c78"/>
          <w:spacing w:val="-2"/>
        </w:rPr>
        <w:t xml:space="preserve">e</w:t>
      </w:r>
      <w:r>
        <w:rPr>
          <w:i/>
          <w:color w:val="1f4c78"/>
          <w:spacing w:val="-5"/>
        </w:rPr>
        <w:t xml:space="preserve"> </w:t>
      </w:r>
      <w:r>
        <w:rPr>
          <w:i/>
          <w:color w:val="1f4c78"/>
          <w:spacing w:val="-2"/>
        </w:rPr>
        <w:t xml:space="preserve">pagamenti</w:t>
      </w:r>
      <w:r>
        <w:rPr>
          <w:i/>
          <w:color w:val="1f4c78"/>
          <w:spacing w:val="-5"/>
        </w:rPr>
        <w:t xml:space="preserve"> </w:t>
      </w:r>
      <w:r>
        <w:rPr>
          <w:i/>
          <w:color w:val="1f4c78"/>
          <w:spacing w:val="-2"/>
        </w:rPr>
        <w:t xml:space="preserve">dell’Operazione</w:t>
      </w:r>
      <w:r>
        <w:rPr>
          <w:i/>
        </w:rPr>
      </w:r>
    </w:p>
    <w:tbl>
      <w:tblPr>
        <w:tblW w:w="0" w:type="auto"/>
        <w:tblInd w:w="29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1671"/>
        <w:gridCol w:w="4162"/>
        <w:gridCol w:w="3671"/>
      </w:tblGrid>
      <w:tr>
        <w:trPr>
          <w:trHeight w:val="269"/>
        </w:trPr>
        <w:tc>
          <w:tcPr>
            <w:shd w:val="clear" w:color="auto" w:fill="f2f2f2"/>
            <w:tcBorders/>
            <w:tcW w:w="1671" w:type="dxa"/>
            <w:textDirection w:val="lrTb"/>
            <w:noWrap w:val="false"/>
          </w:tcPr>
          <w:p>
            <w:pPr>
              <w:pStyle w:val="999"/>
              <w:pBdr/>
              <w:spacing w:line="249" w:lineRule="exact"/>
              <w:ind w:left="106"/>
              <w:jc w:val="center"/>
              <w:rPr>
                <w:b/>
              </w:rPr>
            </w:pPr>
            <w:r>
              <w:rPr>
                <w:b/>
                <w:spacing w:val="-4"/>
              </w:rPr>
              <w:t xml:space="preserve">Anno</w:t>
            </w:r>
            <w:r>
              <w:rPr>
                <w:b/>
              </w:rPr>
            </w:r>
          </w:p>
        </w:tc>
        <w:tc>
          <w:tcPr>
            <w:shd w:val="clear" w:color="auto" w:fill="f2f2f2"/>
            <w:tcBorders/>
            <w:tcW w:w="4162" w:type="dxa"/>
            <w:textDirection w:val="lrTb"/>
            <w:noWrap w:val="false"/>
          </w:tcPr>
          <w:p>
            <w:pPr>
              <w:pStyle w:val="999"/>
              <w:pBdr/>
              <w:spacing w:line="249" w:lineRule="exact"/>
              <w:ind w:left="1325"/>
              <w:rPr>
                <w:b/>
              </w:rPr>
            </w:pPr>
            <w:r>
              <w:rPr>
                <w:b/>
              </w:rPr>
              <w:t xml:space="preserve">Impegno</w:t>
            </w:r>
            <w:r>
              <w:rPr>
                <w:b/>
                <w:spacing w:val="-6"/>
              </w:rPr>
              <w:t xml:space="preserve"> </w:t>
            </w:r>
            <w:r>
              <w:rPr>
                <w:b/>
                <w:spacing w:val="-2"/>
              </w:rPr>
              <w:t xml:space="preserve">Previsto</w:t>
            </w:r>
            <w:r>
              <w:rPr>
                <w:b/>
              </w:rPr>
            </w:r>
          </w:p>
        </w:tc>
        <w:tc>
          <w:tcPr>
            <w:shd w:val="clear" w:color="auto" w:fill="f2f2f2"/>
            <w:tcBorders/>
            <w:tcW w:w="3671" w:type="dxa"/>
            <w:textDirection w:val="lrTb"/>
            <w:noWrap w:val="false"/>
          </w:tcPr>
          <w:p>
            <w:pPr>
              <w:pStyle w:val="999"/>
              <w:pBdr/>
              <w:spacing w:line="249" w:lineRule="exact"/>
              <w:ind w:left="963"/>
              <w:rPr>
                <w:b/>
              </w:rPr>
            </w:pPr>
            <w:r>
              <w:rPr>
                <w:b/>
              </w:rPr>
              <w:t xml:space="preserve">Pagamento</w:t>
            </w:r>
            <w:r>
              <w:rPr>
                <w:b/>
                <w:spacing w:val="-8"/>
              </w:rPr>
              <w:t xml:space="preserve"> </w:t>
            </w:r>
            <w:r>
              <w:rPr>
                <w:b/>
                <w:spacing w:val="-2"/>
              </w:rPr>
              <w:t xml:space="preserve">Previsto</w:t>
            </w:r>
            <w:r>
              <w:rPr>
                <w:b/>
              </w:rPr>
            </w:r>
          </w:p>
        </w:tc>
      </w:tr>
      <w:tr>
        <w:trPr>
          <w:trHeight w:val="269"/>
        </w:trPr>
        <w:tc>
          <w:tcPr>
            <w:tcBorders/>
            <w:tcW w:w="167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cW w:w="4162"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cW w:w="367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r>
      <w:tr>
        <w:trPr>
          <w:trHeight w:val="270"/>
        </w:trPr>
        <w:tc>
          <w:tcPr>
            <w:tcBorders/>
            <w:tcW w:w="167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cW w:w="4162"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cW w:w="367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r>
      <w:tr>
        <w:trPr>
          <w:trHeight w:val="269"/>
        </w:trPr>
        <w:tc>
          <w:tcPr>
            <w:tcBorders/>
            <w:tcW w:w="167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cW w:w="4162"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cW w:w="367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r>
      <w:tr>
        <w:trPr>
          <w:trHeight w:val="269"/>
        </w:trPr>
        <w:tc>
          <w:tcPr>
            <w:tcBorders/>
            <w:tcW w:w="167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cW w:w="4162"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cW w:w="367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r>
      <w:tr>
        <w:trPr>
          <w:trHeight w:val="270"/>
        </w:trPr>
        <w:tc>
          <w:tcPr>
            <w:tcBorders/>
            <w:tcW w:w="167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cW w:w="4162"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cW w:w="367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r>
      <w:tr>
        <w:trPr>
          <w:trHeight w:val="269"/>
        </w:trPr>
        <w:tc>
          <w:tcPr>
            <w:tcBorders/>
            <w:tcW w:w="167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cW w:w="4162"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cW w:w="367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r>
      <w:tr>
        <w:trPr>
          <w:trHeight w:val="269"/>
        </w:trPr>
        <w:tc>
          <w:tcPr>
            <w:tcBorders/>
            <w:tcW w:w="167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cW w:w="4162"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cW w:w="367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r>
      <w:tr>
        <w:trPr>
          <w:trHeight w:val="270"/>
        </w:trPr>
        <w:tc>
          <w:tcPr>
            <w:tcBorders/>
            <w:tcW w:w="1671" w:type="dxa"/>
            <w:textDirection w:val="lrTb"/>
            <w:noWrap w:val="false"/>
          </w:tcPr>
          <w:p>
            <w:pPr>
              <w:pStyle w:val="999"/>
              <w:pBdr/>
              <w:spacing w:line="250" w:lineRule="exact"/>
              <w:ind w:left="106"/>
              <w:jc w:val="center"/>
              <w:rPr>
                <w:b/>
              </w:rPr>
            </w:pPr>
            <w:r>
              <w:rPr>
                <w:b/>
                <w:spacing w:val="-2"/>
              </w:rPr>
              <w:t xml:space="preserve">TOTALE</w:t>
            </w:r>
            <w:r>
              <w:rPr>
                <w:b/>
              </w:rPr>
            </w:r>
          </w:p>
        </w:tc>
        <w:tc>
          <w:tcPr>
            <w:tcBorders/>
            <w:tcW w:w="4162"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c>
          <w:tcPr>
            <w:tcBorders/>
            <w:tcW w:w="3671" w:type="dxa"/>
            <w:textDirection w:val="lrTb"/>
            <w:noWrap w:val="false"/>
          </w:tcPr>
          <w:p>
            <w:pPr>
              <w:pStyle w:val="999"/>
              <w:pBdr/>
              <w:spacing/>
              <w:ind/>
              <w:rPr>
                <w:rFonts w:ascii="Times New Roman"/>
                <w:sz w:val="16"/>
              </w:rPr>
            </w:pPr>
            <w:r>
              <w:rPr>
                <w:rFonts w:ascii="Times New Roman"/>
                <w:sz w:val="16"/>
              </w:rPr>
            </w:r>
            <w:r>
              <w:rPr>
                <w:rFonts w:ascii="Times New Roman"/>
                <w:sz w:val="16"/>
              </w:rPr>
            </w:r>
          </w:p>
        </w:tc>
      </w:tr>
    </w:tbl>
    <w:p>
      <w:pPr>
        <w:pStyle w:val="997"/>
        <w:pBdr/>
        <w:spacing w:before="30"/>
        <w:ind/>
        <w:rPr>
          <w:bCs/>
          <w:i/>
          <w:sz w:val="20"/>
          <w:szCs w:val="20"/>
        </w:rPr>
      </w:pPr>
      <w:r>
        <w:rPr>
          <w:bCs/>
          <w:i/>
          <w:sz w:val="20"/>
          <w:szCs w:val="20"/>
        </w:rPr>
      </w:r>
      <w:r>
        <w:rPr>
          <w:bCs/>
          <w:i/>
          <w:sz w:val="20"/>
          <w:szCs w:val="20"/>
        </w:rPr>
      </w:r>
    </w:p>
    <w:p>
      <w:pPr>
        <w:pStyle w:val="997"/>
        <w:pBdr/>
        <w:spacing w:before="30"/>
        <w:ind/>
        <w:rPr>
          <w:bCs/>
          <w:i/>
          <w:sz w:val="20"/>
          <w:szCs w:val="20"/>
        </w:rPr>
      </w:pPr>
      <w:r>
        <w:rPr>
          <w:bCs/>
          <w:i/>
          <w:sz w:val="20"/>
          <w:szCs w:val="20"/>
        </w:rPr>
      </w:r>
      <w:r>
        <w:rPr>
          <w:bCs/>
          <w:i/>
          <w:sz w:val="20"/>
          <w:szCs w:val="20"/>
        </w:rPr>
      </w:r>
    </w:p>
    <w:p>
      <w:pPr>
        <w:pStyle w:val="997"/>
        <w:pBdr/>
        <w:spacing w:before="30"/>
        <w:ind/>
        <w:rPr>
          <w:bCs/>
          <w:i/>
          <w:sz w:val="20"/>
          <w:szCs w:val="20"/>
        </w:rPr>
      </w:pPr>
      <w:r>
        <w:rPr>
          <w:bCs/>
          <w:i/>
          <w:sz w:val="20"/>
          <w:szCs w:val="20"/>
        </w:rPr>
      </w:r>
      <w:r>
        <w:rPr>
          <w:bCs/>
          <w:i/>
          <w:sz w:val="20"/>
          <w:szCs w:val="20"/>
        </w:rPr>
      </w:r>
    </w:p>
    <w:p>
      <w:pPr>
        <w:pStyle w:val="997"/>
        <w:pBdr/>
        <w:spacing w:before="30"/>
        <w:ind/>
        <w:rPr>
          <w:bCs/>
          <w:i/>
          <w:sz w:val="20"/>
          <w:szCs w:val="20"/>
        </w:rPr>
      </w:pPr>
      <w:r>
        <w:rPr>
          <w:i/>
          <w:sz w:val="20"/>
        </w:rPr>
        <mc:AlternateContent>
          <mc:Choice Requires="wpg">
            <w:drawing>
              <wp:anchor xmlns:wp="http://schemas.openxmlformats.org/drawingml/2006/wordprocessingDrawing" xmlns:wp14="http://schemas.microsoft.com/office/word/2010/wordprocessingDrawing" distT="0" distB="0" distL="0" distR="0" simplePos="0" relativeHeight="251676672" behindDoc="1" locked="0" layoutInCell="1" allowOverlap="1">
                <wp:simplePos x="0" y="0"/>
                <wp:positionH relativeFrom="page">
                  <wp:posOffset>792259</wp:posOffset>
                </wp:positionH>
                <wp:positionV relativeFrom="paragraph">
                  <wp:posOffset>189887</wp:posOffset>
                </wp:positionV>
                <wp:extent cx="6066155" cy="341630"/>
                <wp:effectExtent l="0" t="0" r="0" b="0"/>
                <wp:wrapTopAndBottom/>
                <wp:docPr id="14" name="Textbox 27"/>
                <wp:cNvGraphicFramePr/>
                <a:graphic xmlns:a="http://schemas.openxmlformats.org/drawingml/2006/main">
                  <a:graphicData uri="http://schemas.microsoft.com/office/word/2010/wordprocessingShape">
                    <wps:wsp>
                      <wps:cNvPr id="0" name=""/>
                      <wps:cNvSpPr txBox="1"/>
                      <wps:spPr bwMode="auto">
                        <a:xfrm>
                          <a:off x="0" y="0"/>
                          <a:ext cx="6066155" cy="341630"/>
                        </a:xfrm>
                        <a:prstGeom prst="rect">
                          <a:avLst/>
                        </a:prstGeom>
                        <a:solidFill>
                          <a:srgbClr val="F2F2F2"/>
                        </a:solidFill>
                      </wps:spPr>
                      <wps:txbx>
                        <w:txbxContent>
                          <w:p>
                            <w:pPr>
                              <w:pStyle w:val="997"/>
                              <w:pBdr/>
                              <w:spacing/>
                              <w:ind w:right="52" w:left="3"/>
                              <w:jc w:val="center"/>
                              <w:rPr>
                                <w:color w:val="000000"/>
                              </w:rPr>
                            </w:pPr>
                            <w:r>
                              <w:rPr>
                                <w:color w:val="1f4c78"/>
                                <w:spacing w:val="-2"/>
                              </w:rPr>
                              <w:t xml:space="preserve">SEZIONE</w:t>
                            </w:r>
                            <w:r>
                              <w:rPr>
                                <w:color w:val="1f4c78"/>
                                <w:spacing w:val="-10"/>
                              </w:rPr>
                              <w:t xml:space="preserve">V</w:t>
                            </w:r>
                            <w:r>
                              <w:rPr>
                                <w:color w:val="000000"/>
                              </w:rPr>
                            </w:r>
                          </w:p>
                          <w:p>
                            <w:pPr>
                              <w:pStyle w:val="997"/>
                              <w:pBdr/>
                              <w:spacing/>
                              <w:ind w:right="52" w:left="2"/>
                              <w:jc w:val="center"/>
                              <w:rPr>
                                <w:color w:val="000000"/>
                              </w:rPr>
                            </w:pPr>
                            <w:r>
                              <w:rPr>
                                <w:color w:val="1f4c78"/>
                                <w:spacing w:val="-2"/>
                              </w:rPr>
                              <w:t xml:space="preserve">DATIPERILMONITORAGGIOFISICO</w:t>
                            </w:r>
                            <w:r>
                              <w:rPr>
                                <w:color w:val="000000"/>
                              </w:rPr>
                            </w:r>
                          </w:p>
                        </w:txbxContent>
                      </wps:txbx>
                      <wps:bodyPr wrap="square" lIns="0" tIns="0" rIns="0" bIns="0" rtlCol="0"/>
                    </wps:wsp>
                  </a:graphicData>
                </a:graphic>
              </wp:anchor>
            </w:drawing>
          </mc:Choice>
          <mc:Fallback>
            <w:pict>
              <v:shape id="shape 21" o:spid="_x0000_s21" o:spt="202" type="#_x0000_t202" style="position:absolute;z-index:-251676672;o:allowoverlap:true;o:allowincell:true;mso-position-horizontal-relative:page;margin-left:62.38pt;mso-position-horizontal:absolute;mso-position-vertical-relative:text;margin-top:14.95pt;mso-position-vertical:absolute;width:477.65pt;height:26.90pt;mso-wrap-distance-left:0.00pt;mso-wrap-distance-top:0.00pt;mso-wrap-distance-right:0.00pt;mso-wrap-distance-bottom:0.00pt;visibility:visible;" fillcolor="#F2F2F2">
                <w10:wrap type="topAndBottom"/>
                <v:textbox inset="0,0,0,0">
                  <w:txbxContent>
                    <w:p>
                      <w:pPr>
                        <w:pStyle w:val="997"/>
                        <w:pBdr/>
                        <w:spacing/>
                        <w:ind w:right="52" w:left="3"/>
                        <w:jc w:val="center"/>
                        <w:rPr>
                          <w:color w:val="000000"/>
                        </w:rPr>
                      </w:pPr>
                      <w:r>
                        <w:rPr>
                          <w:color w:val="1f4c78"/>
                          <w:spacing w:val="-2"/>
                        </w:rPr>
                        <w:t xml:space="preserve">SEZIONE</w:t>
                      </w:r>
                      <w:r>
                        <w:rPr>
                          <w:color w:val="1f4c78"/>
                          <w:spacing w:val="-10"/>
                        </w:rPr>
                        <w:t xml:space="preserve">V</w:t>
                      </w:r>
                      <w:r>
                        <w:rPr>
                          <w:color w:val="000000"/>
                        </w:rPr>
                      </w:r>
                    </w:p>
                    <w:p>
                      <w:pPr>
                        <w:pStyle w:val="997"/>
                        <w:pBdr/>
                        <w:spacing/>
                        <w:ind w:right="52" w:left="2"/>
                        <w:jc w:val="center"/>
                        <w:rPr>
                          <w:color w:val="000000"/>
                        </w:rPr>
                      </w:pPr>
                      <w:r>
                        <w:rPr>
                          <w:color w:val="1f4c78"/>
                          <w:spacing w:val="-2"/>
                        </w:rPr>
                        <w:t xml:space="preserve">DATIPERILMONITORAGGIOFISICO</w:t>
                      </w:r>
                      <w:r>
                        <w:rPr>
                          <w:color w:val="000000"/>
                        </w:rPr>
                      </w:r>
                    </w:p>
                  </w:txbxContent>
                </v:textbox>
              </v:shape>
            </w:pict>
          </mc:Fallback>
        </mc:AlternateContent>
      </w:r>
      <w:r>
        <w:rPr>
          <w:bCs/>
          <w:i/>
          <w:sz w:val="20"/>
          <w:szCs w:val="20"/>
        </w:rPr>
      </w:r>
    </w:p>
    <w:p>
      <w:pPr>
        <w:pStyle w:val="998"/>
        <w:numPr>
          <w:ilvl w:val="1"/>
          <w:numId w:val="1"/>
        </w:numPr>
        <w:pBdr/>
        <w:tabs>
          <w:tab w:val="left" w:leader="none" w:pos="849"/>
        </w:tabs>
        <w:spacing w:before="268"/>
        <w:ind w:hanging="565" w:left="849"/>
        <w:rPr>
          <w:i/>
        </w:rPr>
      </w:pPr>
      <w:r>
        <w:rPr>
          <w:i/>
          <w:color w:val="1f4c78"/>
          <w:spacing w:val="-2"/>
        </w:rPr>
        <w:t xml:space="preserve">Categorie</w:t>
      </w:r>
      <w:r>
        <w:rPr>
          <w:i/>
          <w:color w:val="1f4c78"/>
          <w:spacing w:val="-5"/>
        </w:rPr>
        <w:t xml:space="preserve"> </w:t>
      </w:r>
      <w:r>
        <w:rPr>
          <w:i/>
          <w:color w:val="1f4c78"/>
          <w:spacing w:val="-2"/>
        </w:rPr>
        <w:t xml:space="preserve">di</w:t>
      </w:r>
      <w:r>
        <w:rPr>
          <w:i/>
          <w:color w:val="1f4c78"/>
          <w:spacing w:val="-5"/>
        </w:rPr>
        <w:t xml:space="preserve"> </w:t>
      </w:r>
      <w:r>
        <w:rPr>
          <w:i/>
          <w:color w:val="1f4c78"/>
          <w:spacing w:val="-2"/>
        </w:rPr>
        <w:t xml:space="preserve">operazione</w:t>
      </w:r>
      <w:r>
        <w:rPr>
          <w:i/>
          <w:color w:val="1f4c78"/>
          <w:spacing w:val="-4"/>
        </w:rPr>
        <w:t xml:space="preserve"> </w:t>
      </w:r>
      <w:r>
        <w:rPr>
          <w:i/>
          <w:color w:val="1f4c78"/>
          <w:spacing w:val="-2"/>
        </w:rPr>
        <w:t xml:space="preserve">in</w:t>
      </w:r>
      <w:r>
        <w:rPr>
          <w:i/>
          <w:color w:val="1f4c78"/>
          <w:spacing w:val="-5"/>
        </w:rPr>
        <w:t xml:space="preserve"> </w:t>
      </w:r>
      <w:r>
        <w:rPr>
          <w:i/>
          <w:color w:val="1f4c78"/>
          <w:spacing w:val="-2"/>
        </w:rPr>
        <w:t xml:space="preserve">coerenza</w:t>
      </w:r>
      <w:r>
        <w:rPr>
          <w:i/>
          <w:color w:val="1f4c78"/>
          <w:spacing w:val="-4"/>
        </w:rPr>
        <w:t xml:space="preserve"> </w:t>
      </w:r>
      <w:r>
        <w:rPr>
          <w:i/>
          <w:color w:val="1f4c78"/>
          <w:spacing w:val="-2"/>
        </w:rPr>
        <w:t xml:space="preserve">con</w:t>
      </w:r>
      <w:r>
        <w:rPr>
          <w:i/>
          <w:color w:val="1f4c78"/>
          <w:spacing w:val="-5"/>
        </w:rPr>
        <w:t xml:space="preserve"> </w:t>
      </w:r>
      <w:r>
        <w:rPr>
          <w:i/>
          <w:color w:val="1f4c78"/>
          <w:spacing w:val="-2"/>
        </w:rPr>
        <w:t xml:space="preserve">la</w:t>
      </w:r>
      <w:r>
        <w:rPr>
          <w:i/>
          <w:color w:val="1f4c78"/>
          <w:spacing w:val="-4"/>
        </w:rPr>
        <w:t xml:space="preserve"> </w:t>
      </w:r>
      <w:r>
        <w:rPr>
          <w:i/>
          <w:color w:val="1f4c78"/>
          <w:spacing w:val="-2"/>
        </w:rPr>
        <w:t xml:space="preserve">normativa</w:t>
      </w:r>
      <w:r>
        <w:rPr>
          <w:i/>
          <w:color w:val="1f4c78"/>
          <w:spacing w:val="-5"/>
        </w:rPr>
        <w:t xml:space="preserve"> </w:t>
      </w:r>
      <w:r>
        <w:rPr>
          <w:i/>
          <w:color w:val="1f4c78"/>
          <w:spacing w:val="-2"/>
        </w:rPr>
        <w:t xml:space="preserve">europea</w:t>
      </w:r>
      <w:r>
        <w:rPr>
          <w:i/>
        </w:rPr>
      </w:r>
    </w:p>
    <w:tbl>
      <w:tblPr>
        <w:tblW w:w="0" w:type="auto"/>
        <w:tblInd w:w="29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5110"/>
        <w:gridCol w:w="4394"/>
      </w:tblGrid>
      <w:tr>
        <w:trPr>
          <w:trHeight w:val="570"/>
        </w:trPr>
        <w:tc>
          <w:tcPr>
            <w:shd w:val="clear" w:color="auto" w:fill="f2f2f2"/>
            <w:tcBorders/>
            <w:tcW w:w="5110" w:type="dxa"/>
            <w:textDirection w:val="lrTb"/>
            <w:noWrap w:val="false"/>
          </w:tcPr>
          <w:p>
            <w:pPr>
              <w:pStyle w:val="999"/>
              <w:pBdr/>
              <w:spacing w:before="158"/>
              <w:ind w:left="106"/>
              <w:jc w:val="center"/>
              <w:rPr/>
            </w:pPr>
            <w:r>
              <w:rPr>
                <w:spacing w:val="-2"/>
              </w:rPr>
              <w:t xml:space="preserve">Dimensione</w:t>
            </w:r>
            <w:r/>
          </w:p>
        </w:tc>
        <w:tc>
          <w:tcPr>
            <w:shd w:val="clear" w:color="auto" w:fill="f2f2f2"/>
            <w:tcBorders/>
            <w:tcW w:w="4394" w:type="dxa"/>
            <w:textDirection w:val="lrTb"/>
            <w:noWrap w:val="false"/>
          </w:tcPr>
          <w:p>
            <w:pPr>
              <w:pStyle w:val="999"/>
              <w:pBdr/>
              <w:spacing w:before="158"/>
              <w:ind w:left="56"/>
              <w:jc w:val="center"/>
              <w:rPr/>
            </w:pPr>
            <w:r>
              <w:rPr>
                <w:spacing w:val="-2"/>
              </w:rPr>
              <w:t xml:space="preserve">Codice</w:t>
            </w:r>
            <w:r/>
          </w:p>
        </w:tc>
      </w:tr>
      <w:tr>
        <w:trPr>
          <w:trHeight w:val="390"/>
        </w:trPr>
        <w:tc>
          <w:tcPr>
            <w:tcBorders/>
            <w:tcW w:w="5110" w:type="dxa"/>
            <w:textDirection w:val="lrTb"/>
            <w:noWrap w:val="false"/>
          </w:tcPr>
          <w:p>
            <w:pPr>
              <w:pStyle w:val="999"/>
              <w:pBdr/>
              <w:spacing w:before="7"/>
              <w:ind w:left="149"/>
              <w:rPr/>
            </w:pPr>
            <w:r>
              <w:t xml:space="preserve">Campo</w:t>
            </w:r>
            <w:r>
              <w:rPr>
                <w:spacing w:val="-3"/>
              </w:rPr>
              <w:t xml:space="preserve"> </w:t>
            </w:r>
            <w:r>
              <w:t xml:space="preserve">di</w:t>
            </w:r>
            <w:r>
              <w:rPr>
                <w:spacing w:val="-2"/>
              </w:rPr>
              <w:t xml:space="preserve"> operazione</w:t>
            </w:r>
            <w:r/>
          </w:p>
        </w:tc>
        <w:tc>
          <w:tcPr>
            <w:tcBorders/>
            <w:tcW w:w="4394" w:type="dxa"/>
            <w:textDirection w:val="lrTb"/>
            <w:noWrap w:val="false"/>
          </w:tcPr>
          <w:p>
            <w:pPr>
              <w:pStyle w:val="999"/>
              <w:pBdr/>
              <w:spacing/>
              <w:ind/>
              <w:rPr>
                <w:rFonts w:ascii="Times New Roman"/>
              </w:rPr>
            </w:pPr>
            <w:r>
              <w:rPr>
                <w:rFonts w:ascii="Times New Roman"/>
              </w:rPr>
            </w:r>
            <w:r>
              <w:rPr>
                <w:rFonts w:ascii="Times New Roman"/>
              </w:rPr>
            </w:r>
          </w:p>
        </w:tc>
      </w:tr>
      <w:tr>
        <w:trPr>
          <w:trHeight w:val="390"/>
        </w:trPr>
        <w:tc>
          <w:tcPr>
            <w:tcBorders/>
            <w:tcW w:w="5110" w:type="dxa"/>
            <w:textDirection w:val="lrTb"/>
            <w:noWrap w:val="false"/>
          </w:tcPr>
          <w:p>
            <w:pPr>
              <w:pStyle w:val="999"/>
              <w:pBdr/>
              <w:spacing w:before="7"/>
              <w:ind w:left="149"/>
              <w:rPr/>
            </w:pPr>
            <w:r>
              <w:t xml:space="preserve">Forme</w:t>
            </w:r>
            <w:r>
              <w:rPr>
                <w:spacing w:val="-3"/>
              </w:rPr>
              <w:t xml:space="preserve"> </w:t>
            </w:r>
            <w:r>
              <w:t xml:space="preserve">di</w:t>
            </w:r>
            <w:r>
              <w:rPr>
                <w:spacing w:val="-2"/>
              </w:rPr>
              <w:t xml:space="preserve"> finanziamento</w:t>
            </w:r>
            <w:r/>
          </w:p>
        </w:tc>
        <w:tc>
          <w:tcPr>
            <w:tcBorders/>
            <w:tcW w:w="4394" w:type="dxa"/>
            <w:textDirection w:val="lrTb"/>
            <w:noWrap w:val="false"/>
          </w:tcPr>
          <w:p>
            <w:pPr>
              <w:pStyle w:val="999"/>
              <w:pBdr/>
              <w:spacing/>
              <w:ind/>
              <w:rPr>
                <w:rFonts w:ascii="Times New Roman"/>
              </w:rPr>
            </w:pPr>
            <w:r>
              <w:rPr>
                <w:rFonts w:ascii="Times New Roman"/>
              </w:rPr>
            </w:r>
            <w:r>
              <w:rPr>
                <w:rFonts w:ascii="Times New Roman"/>
              </w:rPr>
            </w:r>
          </w:p>
        </w:tc>
      </w:tr>
      <w:tr>
        <w:trPr>
          <w:trHeight w:val="390"/>
        </w:trPr>
        <w:tc>
          <w:tcPr>
            <w:tcBorders/>
            <w:tcW w:w="5110" w:type="dxa"/>
            <w:textDirection w:val="lrTb"/>
            <w:noWrap w:val="false"/>
          </w:tcPr>
          <w:p>
            <w:pPr>
              <w:pStyle w:val="999"/>
              <w:pBdr/>
              <w:spacing w:before="7"/>
              <w:ind w:left="149"/>
              <w:rPr/>
            </w:pPr>
            <w:r>
              <w:rPr>
                <w:spacing w:val="-2"/>
              </w:rPr>
              <w:t xml:space="preserve">Territorio</w:t>
            </w:r>
            <w:r/>
          </w:p>
        </w:tc>
        <w:tc>
          <w:tcPr>
            <w:tcBorders/>
            <w:tcW w:w="4394" w:type="dxa"/>
            <w:textDirection w:val="lrTb"/>
            <w:noWrap w:val="false"/>
          </w:tcPr>
          <w:p>
            <w:pPr>
              <w:pStyle w:val="999"/>
              <w:pBdr/>
              <w:spacing/>
              <w:ind/>
              <w:rPr>
                <w:rFonts w:ascii="Times New Roman"/>
              </w:rPr>
            </w:pPr>
            <w:r>
              <w:rPr>
                <w:rFonts w:ascii="Times New Roman"/>
              </w:rPr>
            </w:r>
            <w:r>
              <w:rPr>
                <w:rFonts w:ascii="Times New Roman"/>
              </w:rPr>
            </w:r>
          </w:p>
        </w:tc>
      </w:tr>
      <w:tr>
        <w:trPr>
          <w:trHeight w:val="390"/>
        </w:trPr>
        <w:tc>
          <w:tcPr>
            <w:tcBorders/>
            <w:tcW w:w="5110" w:type="dxa"/>
            <w:textDirection w:val="lrTb"/>
            <w:noWrap w:val="false"/>
          </w:tcPr>
          <w:p>
            <w:pPr>
              <w:pStyle w:val="999"/>
              <w:pBdr/>
              <w:spacing w:before="7"/>
              <w:ind w:left="149"/>
              <w:rPr/>
            </w:pPr>
            <w:r>
              <w:t xml:space="preserve">Meccanismi</w:t>
            </w:r>
            <w:r>
              <w:rPr>
                <w:spacing w:val="-6"/>
              </w:rPr>
              <w:t xml:space="preserve"> </w:t>
            </w:r>
            <w:r>
              <w:t xml:space="preserve">di</w:t>
            </w:r>
            <w:r>
              <w:rPr>
                <w:spacing w:val="-6"/>
              </w:rPr>
              <w:t xml:space="preserve"> </w:t>
            </w:r>
            <w:r>
              <w:t xml:space="preserve">erogazione</w:t>
            </w:r>
            <w:r>
              <w:rPr>
                <w:spacing w:val="-6"/>
              </w:rPr>
              <w:t xml:space="preserve"> </w:t>
            </w:r>
            <w:r>
              <w:rPr>
                <w:spacing w:val="-2"/>
              </w:rPr>
              <w:t xml:space="preserve">territoriale</w:t>
            </w:r>
            <w:r/>
          </w:p>
        </w:tc>
        <w:tc>
          <w:tcPr>
            <w:tcBorders/>
            <w:tcW w:w="4394" w:type="dxa"/>
            <w:textDirection w:val="lrTb"/>
            <w:noWrap w:val="false"/>
          </w:tcPr>
          <w:p>
            <w:pPr>
              <w:pStyle w:val="999"/>
              <w:pBdr/>
              <w:spacing/>
              <w:ind/>
              <w:rPr>
                <w:rFonts w:ascii="Times New Roman"/>
              </w:rPr>
            </w:pPr>
            <w:r>
              <w:rPr>
                <w:rFonts w:ascii="Times New Roman"/>
              </w:rPr>
            </w:r>
            <w:r>
              <w:rPr>
                <w:rFonts w:ascii="Times New Roman"/>
              </w:rPr>
            </w:r>
          </w:p>
        </w:tc>
      </w:tr>
      <w:tr>
        <w:trPr>
          <w:trHeight w:val="390"/>
        </w:trPr>
        <w:tc>
          <w:tcPr>
            <w:tcBorders/>
            <w:tcW w:w="5110" w:type="dxa"/>
            <w:textDirection w:val="lrTb"/>
            <w:noWrap w:val="false"/>
          </w:tcPr>
          <w:p>
            <w:pPr>
              <w:pStyle w:val="999"/>
              <w:pBdr/>
              <w:spacing w:before="7"/>
              <w:ind w:left="149"/>
              <w:rPr/>
            </w:pPr>
            <w:r>
              <w:t xml:space="preserve">Obiettivo</w:t>
            </w:r>
            <w:r>
              <w:rPr>
                <w:spacing w:val="-6"/>
              </w:rPr>
              <w:t xml:space="preserve"> </w:t>
            </w:r>
            <w:r>
              <w:rPr>
                <w:spacing w:val="-2"/>
              </w:rPr>
              <w:t xml:space="preserve">Specifico</w:t>
            </w:r>
            <w:r/>
          </w:p>
        </w:tc>
        <w:tc>
          <w:tcPr>
            <w:tcBorders/>
            <w:tcW w:w="4394" w:type="dxa"/>
            <w:textDirection w:val="lrTb"/>
            <w:noWrap w:val="false"/>
          </w:tcPr>
          <w:p>
            <w:pPr>
              <w:pStyle w:val="999"/>
              <w:pBdr/>
              <w:spacing/>
              <w:ind/>
              <w:rPr>
                <w:rFonts w:ascii="Times New Roman"/>
              </w:rPr>
            </w:pPr>
            <w:r>
              <w:rPr>
                <w:rFonts w:ascii="Times New Roman"/>
              </w:rPr>
            </w:r>
            <w:r>
              <w:rPr>
                <w:rFonts w:ascii="Times New Roman"/>
              </w:rPr>
            </w:r>
          </w:p>
        </w:tc>
      </w:tr>
      <w:tr>
        <w:trPr>
          <w:trHeight w:val="390"/>
        </w:trPr>
        <w:tc>
          <w:tcPr>
            <w:tcBorders/>
            <w:tcW w:w="5110" w:type="dxa"/>
            <w:textDirection w:val="lrTb"/>
            <w:noWrap w:val="false"/>
          </w:tcPr>
          <w:p>
            <w:pPr>
              <w:pStyle w:val="999"/>
              <w:pBdr/>
              <w:spacing w:before="7"/>
              <w:ind w:left="149"/>
              <w:rPr/>
            </w:pPr>
            <w:r>
              <w:rPr>
                <w:spacing w:val="-2"/>
              </w:rPr>
              <w:t xml:space="preserve">Ubicazione</w:t>
            </w:r>
            <w:r/>
          </w:p>
        </w:tc>
        <w:tc>
          <w:tcPr>
            <w:tcBorders/>
            <w:tcW w:w="4394" w:type="dxa"/>
            <w:textDirection w:val="lrTb"/>
            <w:noWrap w:val="false"/>
          </w:tcPr>
          <w:p>
            <w:pPr>
              <w:pStyle w:val="999"/>
              <w:pBdr/>
              <w:spacing/>
              <w:ind/>
              <w:rPr>
                <w:rFonts w:ascii="Times New Roman"/>
              </w:rPr>
            </w:pPr>
            <w:r>
              <w:rPr>
                <w:rFonts w:ascii="Times New Roman"/>
              </w:rPr>
            </w:r>
            <w:r>
              <w:rPr>
                <w:rFonts w:ascii="Times New Roman"/>
              </w:rPr>
            </w:r>
          </w:p>
        </w:tc>
      </w:tr>
    </w:tbl>
    <w:p>
      <w:pPr>
        <w:pStyle w:val="997"/>
        <w:pBdr/>
        <w:spacing w:before="7"/>
        <w:ind/>
        <w:rPr>
          <w:i/>
        </w:rPr>
      </w:pPr>
      <w:r>
        <w:rPr>
          <w:i/>
        </w:rPr>
      </w:r>
      <w:r>
        <w:rPr>
          <w:i/>
        </w:rPr>
      </w:r>
    </w:p>
    <w:p>
      <w:pPr>
        <w:pStyle w:val="998"/>
        <w:numPr>
          <w:ilvl w:val="1"/>
          <w:numId w:val="1"/>
        </w:numPr>
        <w:pBdr/>
        <w:tabs>
          <w:tab w:val="left" w:leader="none" w:pos="849"/>
        </w:tabs>
        <w:spacing/>
        <w:ind w:hanging="566" w:left="849"/>
        <w:rPr>
          <w:i/>
        </w:rPr>
      </w:pPr>
      <w:r>
        <w:rPr>
          <w:i/>
          <w:color w:val="1f4c78"/>
          <w:spacing w:val="-2"/>
        </w:rPr>
        <w:t xml:space="preserve">Indicatori</w:t>
      </w:r>
      <w:r>
        <w:rPr>
          <w:i/>
          <w:color w:val="1f4c78"/>
          <w:spacing w:val="-3"/>
        </w:rPr>
        <w:t xml:space="preserve"> </w:t>
      </w:r>
      <w:r>
        <w:rPr>
          <w:i/>
          <w:color w:val="1f4c78"/>
          <w:spacing w:val="-2"/>
        </w:rPr>
        <w:t xml:space="preserve">fisici</w:t>
      </w:r>
      <w:r>
        <w:rPr>
          <w:i/>
          <w:color w:val="1f4c78"/>
          <w:spacing w:val="-3"/>
        </w:rPr>
        <w:t xml:space="preserve"> </w:t>
      </w:r>
      <w:r>
        <w:rPr>
          <w:i/>
          <w:color w:val="1f4c78"/>
          <w:spacing w:val="-2"/>
        </w:rPr>
        <w:t xml:space="preserve">da</w:t>
      </w:r>
      <w:r>
        <w:rPr>
          <w:i/>
          <w:color w:val="1f4c78"/>
          <w:spacing w:val="-3"/>
        </w:rPr>
        <w:t xml:space="preserve"> </w:t>
      </w:r>
      <w:r>
        <w:rPr>
          <w:i/>
          <w:color w:val="1f4c78"/>
          <w:spacing w:val="-5"/>
        </w:rPr>
        <w:t xml:space="preserve">PR</w:t>
      </w:r>
      <w:r>
        <w:rPr>
          <w:i/>
        </w:rPr>
      </w:r>
    </w:p>
    <w:tbl>
      <w:tblPr>
        <w:tblW w:w="0" w:type="auto"/>
        <w:tblInd w:w="29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3206"/>
        <w:gridCol w:w="1377"/>
        <w:gridCol w:w="1882"/>
        <w:gridCol w:w="1447"/>
        <w:gridCol w:w="1592"/>
      </w:tblGrid>
      <w:tr>
        <w:trPr>
          <w:trHeight w:val="537"/>
        </w:trPr>
        <w:tc>
          <w:tcPr>
            <w:shd w:val="clear" w:color="auto" w:fill="f2f2f2"/>
            <w:tcBorders/>
            <w:tcW w:w="3206" w:type="dxa"/>
            <w:textDirection w:val="lrTb"/>
            <w:noWrap w:val="false"/>
          </w:tcPr>
          <w:p>
            <w:pPr>
              <w:pStyle w:val="999"/>
              <w:pBdr/>
              <w:spacing/>
              <w:ind w:left="635"/>
              <w:rPr>
                <w:b/>
              </w:rPr>
            </w:pPr>
            <w:r>
              <w:rPr>
                <w:b/>
              </w:rPr>
              <w:t xml:space="preserve">Descrizione</w:t>
            </w:r>
            <w:r>
              <w:rPr>
                <w:b/>
                <w:spacing w:val="-9"/>
              </w:rPr>
              <w:t xml:space="preserve"> </w:t>
            </w:r>
            <w:r>
              <w:rPr>
                <w:b/>
                <w:spacing w:val="-2"/>
              </w:rPr>
              <w:t xml:space="preserve">indicatore</w:t>
            </w:r>
            <w:r>
              <w:rPr>
                <w:b/>
              </w:rPr>
            </w:r>
          </w:p>
        </w:tc>
        <w:tc>
          <w:tcPr>
            <w:shd w:val="clear" w:color="auto" w:fill="f2f2f2"/>
            <w:tcBorders/>
            <w:tcW w:w="1377" w:type="dxa"/>
            <w:textDirection w:val="lrTb"/>
            <w:noWrap w:val="false"/>
          </w:tcPr>
          <w:p>
            <w:pPr>
              <w:pStyle w:val="999"/>
              <w:pBdr/>
              <w:spacing w:line="270" w:lineRule="atLeast"/>
              <w:ind w:right="240" w:hanging="24" w:left="421"/>
              <w:rPr>
                <w:b/>
              </w:rPr>
            </w:pPr>
            <w:r>
              <w:rPr>
                <w:b/>
              </w:rPr>
              <w:t xml:space="preserve">Unità</w:t>
            </w:r>
            <w:r>
              <w:rPr>
                <w:b/>
                <w:spacing w:val="-13"/>
              </w:rPr>
              <w:t xml:space="preserve"> </w:t>
            </w:r>
            <w:r>
              <w:rPr>
                <w:b/>
              </w:rPr>
              <w:t xml:space="preserve">di </w:t>
            </w:r>
            <w:r>
              <w:rPr>
                <w:b/>
                <w:spacing w:val="-2"/>
              </w:rPr>
              <w:t xml:space="preserve">misura</w:t>
            </w:r>
            <w:r>
              <w:rPr>
                <w:b/>
              </w:rPr>
            </w:r>
          </w:p>
        </w:tc>
        <w:tc>
          <w:tcPr>
            <w:shd w:val="clear" w:color="auto" w:fill="f2f2f2"/>
            <w:tcBorders/>
            <w:tcW w:w="1882" w:type="dxa"/>
            <w:textDirection w:val="lrTb"/>
            <w:noWrap w:val="false"/>
          </w:tcPr>
          <w:p>
            <w:pPr>
              <w:pStyle w:val="999"/>
              <w:pBdr/>
              <w:spacing w:before="135"/>
              <w:ind w:left="470"/>
              <w:rPr>
                <w:b/>
              </w:rPr>
            </w:pPr>
            <w:r>
              <w:rPr>
                <w:b/>
              </w:rPr>
              <w:t xml:space="preserve">Target</w:t>
            </w:r>
            <w:r>
              <w:rPr>
                <w:b/>
                <w:spacing w:val="-5"/>
              </w:rPr>
              <w:t xml:space="preserve"> </w:t>
            </w:r>
            <w:r>
              <w:rPr>
                <w:b/>
                <w:spacing w:val="-4"/>
              </w:rPr>
              <w:t xml:space="preserve">2024</w:t>
            </w:r>
            <w:r>
              <w:rPr>
                <w:b/>
              </w:rPr>
            </w:r>
          </w:p>
        </w:tc>
        <w:tc>
          <w:tcPr>
            <w:shd w:val="clear" w:color="auto" w:fill="f2f2f2"/>
            <w:tcBorders/>
            <w:tcW w:w="1447" w:type="dxa"/>
            <w:textDirection w:val="lrTb"/>
            <w:noWrap w:val="false"/>
          </w:tcPr>
          <w:p>
            <w:pPr>
              <w:pStyle w:val="999"/>
              <w:pBdr/>
              <w:spacing w:before="135"/>
              <w:ind w:left="228"/>
              <w:rPr>
                <w:b/>
              </w:rPr>
            </w:pPr>
            <w:r>
              <w:rPr>
                <w:b/>
              </w:rPr>
              <w:t xml:space="preserve">Target</w:t>
            </w:r>
            <w:r>
              <w:rPr>
                <w:b/>
                <w:spacing w:val="-5"/>
              </w:rPr>
              <w:t xml:space="preserve"> </w:t>
            </w:r>
            <w:r>
              <w:rPr>
                <w:b/>
                <w:spacing w:val="-4"/>
              </w:rPr>
              <w:t xml:space="preserve">2025</w:t>
            </w:r>
            <w:r>
              <w:rPr>
                <w:b/>
              </w:rPr>
            </w:r>
          </w:p>
        </w:tc>
        <w:tc>
          <w:tcPr>
            <w:shd w:val="clear" w:color="auto" w:fill="f2f2f2"/>
            <w:tcBorders/>
            <w:tcW w:w="1592" w:type="dxa"/>
            <w:textDirection w:val="lrTb"/>
            <w:noWrap w:val="false"/>
          </w:tcPr>
          <w:p>
            <w:pPr>
              <w:pStyle w:val="999"/>
              <w:pBdr/>
              <w:spacing w:before="135"/>
              <w:ind w:left="325"/>
              <w:rPr>
                <w:b/>
              </w:rPr>
            </w:pPr>
            <w:r>
              <w:rPr>
                <w:b/>
              </w:rPr>
              <w:t xml:space="preserve">Target</w:t>
            </w:r>
            <w:r>
              <w:rPr>
                <w:b/>
                <w:spacing w:val="-5"/>
              </w:rPr>
              <w:t xml:space="preserve"> </w:t>
            </w:r>
            <w:r>
              <w:rPr>
                <w:b/>
                <w:spacing w:val="-4"/>
              </w:rPr>
              <w:t xml:space="preserve">2026</w:t>
            </w:r>
            <w:r>
              <w:rPr>
                <w:b/>
              </w:rPr>
            </w:r>
          </w:p>
        </w:tc>
      </w:tr>
      <w:tr>
        <w:trPr>
          <w:trHeight w:val="581"/>
        </w:trPr>
        <w:tc>
          <w:tcPr>
            <w:tcBorders/>
            <w:tcW w:w="3206" w:type="dxa"/>
            <w:textDirection w:val="lrTb"/>
            <w:noWrap w:val="false"/>
          </w:tcPr>
          <w:p>
            <w:pPr>
              <w:pStyle w:val="999"/>
              <w:pBdr/>
              <w:spacing/>
              <w:ind/>
              <w:rPr>
                <w:rFonts w:ascii="Times New Roman"/>
              </w:rPr>
            </w:pPr>
            <w:r>
              <w:rPr>
                <w:rFonts w:ascii="Times New Roman"/>
              </w:rPr>
            </w:r>
            <w:r>
              <w:rPr>
                <w:rFonts w:ascii="Times New Roman"/>
              </w:rPr>
            </w:r>
          </w:p>
        </w:tc>
        <w:tc>
          <w:tcPr>
            <w:tcBorders/>
            <w:tcW w:w="1377" w:type="dxa"/>
            <w:textDirection w:val="lrTb"/>
            <w:noWrap w:val="false"/>
          </w:tcPr>
          <w:p>
            <w:pPr>
              <w:pStyle w:val="999"/>
              <w:pBdr/>
              <w:spacing/>
              <w:ind/>
              <w:rPr>
                <w:rFonts w:ascii="Times New Roman"/>
              </w:rPr>
            </w:pPr>
            <w:r>
              <w:rPr>
                <w:rFonts w:ascii="Times New Roman"/>
              </w:rPr>
            </w:r>
            <w:r>
              <w:rPr>
                <w:rFonts w:ascii="Times New Roman"/>
              </w:rPr>
            </w:r>
          </w:p>
        </w:tc>
        <w:tc>
          <w:tcPr>
            <w:tcBorders/>
            <w:tcW w:w="1882" w:type="dxa"/>
            <w:textDirection w:val="lrTb"/>
            <w:noWrap w:val="false"/>
          </w:tcPr>
          <w:p>
            <w:pPr>
              <w:pStyle w:val="999"/>
              <w:pBdr/>
              <w:spacing/>
              <w:ind/>
              <w:rPr>
                <w:rFonts w:ascii="Times New Roman"/>
              </w:rPr>
            </w:pPr>
            <w:r>
              <w:rPr>
                <w:rFonts w:ascii="Times New Roman"/>
              </w:rPr>
            </w:r>
            <w:r>
              <w:rPr>
                <w:rFonts w:ascii="Times New Roman"/>
              </w:rPr>
            </w:r>
          </w:p>
        </w:tc>
        <w:tc>
          <w:tcPr>
            <w:tcBorders/>
            <w:tcW w:w="1447" w:type="dxa"/>
            <w:textDirection w:val="lrTb"/>
            <w:noWrap w:val="false"/>
          </w:tcPr>
          <w:p>
            <w:pPr>
              <w:pStyle w:val="999"/>
              <w:pBdr/>
              <w:spacing/>
              <w:ind/>
              <w:rPr>
                <w:rFonts w:ascii="Times New Roman"/>
              </w:rPr>
            </w:pPr>
            <w:r>
              <w:rPr>
                <w:rFonts w:ascii="Times New Roman"/>
              </w:rPr>
            </w:r>
            <w:r>
              <w:rPr>
                <w:rFonts w:ascii="Times New Roman"/>
              </w:rPr>
            </w:r>
          </w:p>
        </w:tc>
        <w:tc>
          <w:tcPr>
            <w:tcBorders/>
            <w:tcW w:w="1592" w:type="dxa"/>
            <w:textDirection w:val="lrTb"/>
            <w:noWrap w:val="false"/>
          </w:tcPr>
          <w:p>
            <w:pPr>
              <w:pStyle w:val="999"/>
              <w:pBdr/>
              <w:spacing/>
              <w:ind/>
              <w:rPr>
                <w:rFonts w:ascii="Times New Roman"/>
              </w:rPr>
            </w:pPr>
            <w:r>
              <w:rPr>
                <w:rFonts w:ascii="Times New Roman"/>
              </w:rPr>
            </w:r>
            <w:r>
              <w:rPr>
                <w:rFonts w:ascii="Times New Roman"/>
              </w:rPr>
            </w:r>
          </w:p>
        </w:tc>
      </w:tr>
      <w:tr>
        <w:trPr>
          <w:trHeight w:val="585"/>
        </w:trPr>
        <w:tc>
          <w:tcPr>
            <w:tcBorders/>
            <w:tcW w:w="3206" w:type="dxa"/>
            <w:textDirection w:val="lrTb"/>
            <w:noWrap w:val="false"/>
          </w:tcPr>
          <w:p>
            <w:pPr>
              <w:pStyle w:val="999"/>
              <w:pBdr/>
              <w:spacing/>
              <w:ind/>
              <w:rPr>
                <w:rFonts w:ascii="Times New Roman"/>
              </w:rPr>
            </w:pPr>
            <w:r>
              <w:rPr>
                <w:rFonts w:ascii="Times New Roman"/>
              </w:rPr>
            </w:r>
            <w:r>
              <w:rPr>
                <w:rFonts w:ascii="Times New Roman"/>
              </w:rPr>
            </w:r>
          </w:p>
        </w:tc>
        <w:tc>
          <w:tcPr>
            <w:tcBorders/>
            <w:tcW w:w="1377" w:type="dxa"/>
            <w:textDirection w:val="lrTb"/>
            <w:noWrap w:val="false"/>
          </w:tcPr>
          <w:p>
            <w:pPr>
              <w:pStyle w:val="999"/>
              <w:pBdr/>
              <w:spacing/>
              <w:ind/>
              <w:rPr>
                <w:rFonts w:ascii="Times New Roman"/>
              </w:rPr>
            </w:pPr>
            <w:r>
              <w:rPr>
                <w:rFonts w:ascii="Times New Roman"/>
              </w:rPr>
            </w:r>
            <w:r>
              <w:rPr>
                <w:rFonts w:ascii="Times New Roman"/>
              </w:rPr>
            </w:r>
          </w:p>
        </w:tc>
        <w:tc>
          <w:tcPr>
            <w:tcBorders/>
            <w:tcW w:w="1882" w:type="dxa"/>
            <w:textDirection w:val="lrTb"/>
            <w:noWrap w:val="false"/>
          </w:tcPr>
          <w:p>
            <w:pPr>
              <w:pStyle w:val="999"/>
              <w:pBdr/>
              <w:spacing/>
              <w:ind/>
              <w:rPr>
                <w:rFonts w:ascii="Times New Roman"/>
              </w:rPr>
            </w:pPr>
            <w:r>
              <w:rPr>
                <w:rFonts w:ascii="Times New Roman"/>
              </w:rPr>
            </w:r>
            <w:r>
              <w:rPr>
                <w:rFonts w:ascii="Times New Roman"/>
              </w:rPr>
            </w:r>
          </w:p>
        </w:tc>
        <w:tc>
          <w:tcPr>
            <w:tcBorders/>
            <w:tcW w:w="1447" w:type="dxa"/>
            <w:textDirection w:val="lrTb"/>
            <w:noWrap w:val="false"/>
          </w:tcPr>
          <w:p>
            <w:pPr>
              <w:pStyle w:val="999"/>
              <w:pBdr/>
              <w:spacing/>
              <w:ind/>
              <w:rPr>
                <w:rFonts w:ascii="Times New Roman"/>
              </w:rPr>
            </w:pPr>
            <w:r>
              <w:rPr>
                <w:rFonts w:ascii="Times New Roman"/>
              </w:rPr>
            </w:r>
            <w:r>
              <w:rPr>
                <w:rFonts w:ascii="Times New Roman"/>
              </w:rPr>
            </w:r>
          </w:p>
        </w:tc>
        <w:tc>
          <w:tcPr>
            <w:tcBorders/>
            <w:tcW w:w="1592" w:type="dxa"/>
            <w:textDirection w:val="lrTb"/>
            <w:noWrap w:val="false"/>
          </w:tcPr>
          <w:p>
            <w:pPr>
              <w:pStyle w:val="999"/>
              <w:pBdr/>
              <w:spacing/>
              <w:ind/>
              <w:rPr>
                <w:rFonts w:ascii="Times New Roman"/>
              </w:rPr>
            </w:pPr>
            <w:r>
              <w:rPr>
                <w:rFonts w:ascii="Times New Roman"/>
              </w:rPr>
            </w:r>
            <w:r>
              <w:rPr>
                <w:rFonts w:ascii="Times New Roman"/>
              </w:rPr>
            </w:r>
          </w:p>
        </w:tc>
      </w:tr>
      <w:tr>
        <w:trPr>
          <w:trHeight w:val="584"/>
        </w:trPr>
        <w:tc>
          <w:tcPr>
            <w:tcBorders/>
            <w:tcW w:w="3206" w:type="dxa"/>
            <w:textDirection w:val="lrTb"/>
            <w:noWrap w:val="false"/>
          </w:tcPr>
          <w:p>
            <w:pPr>
              <w:pStyle w:val="999"/>
              <w:pBdr/>
              <w:spacing/>
              <w:ind/>
              <w:rPr>
                <w:rFonts w:ascii="Times New Roman"/>
              </w:rPr>
            </w:pPr>
            <w:r>
              <w:rPr>
                <w:rFonts w:ascii="Times New Roman"/>
              </w:rPr>
            </w:r>
            <w:r>
              <w:rPr>
                <w:rFonts w:ascii="Times New Roman"/>
              </w:rPr>
            </w:r>
          </w:p>
        </w:tc>
        <w:tc>
          <w:tcPr>
            <w:tcBorders/>
            <w:tcW w:w="1377" w:type="dxa"/>
            <w:textDirection w:val="lrTb"/>
            <w:noWrap w:val="false"/>
          </w:tcPr>
          <w:p>
            <w:pPr>
              <w:pStyle w:val="999"/>
              <w:pBdr/>
              <w:spacing/>
              <w:ind/>
              <w:rPr>
                <w:rFonts w:ascii="Times New Roman"/>
              </w:rPr>
            </w:pPr>
            <w:r>
              <w:rPr>
                <w:rFonts w:ascii="Times New Roman"/>
              </w:rPr>
            </w:r>
            <w:r>
              <w:rPr>
                <w:rFonts w:ascii="Times New Roman"/>
              </w:rPr>
            </w:r>
          </w:p>
        </w:tc>
        <w:tc>
          <w:tcPr>
            <w:tcBorders/>
            <w:tcW w:w="1882" w:type="dxa"/>
            <w:textDirection w:val="lrTb"/>
            <w:noWrap w:val="false"/>
          </w:tcPr>
          <w:p>
            <w:pPr>
              <w:pStyle w:val="999"/>
              <w:pBdr/>
              <w:spacing/>
              <w:ind/>
              <w:rPr>
                <w:rFonts w:ascii="Times New Roman"/>
              </w:rPr>
            </w:pPr>
            <w:r>
              <w:rPr>
                <w:rFonts w:ascii="Times New Roman"/>
              </w:rPr>
            </w:r>
            <w:r>
              <w:rPr>
                <w:rFonts w:ascii="Times New Roman"/>
              </w:rPr>
            </w:r>
          </w:p>
        </w:tc>
        <w:tc>
          <w:tcPr>
            <w:tcBorders/>
            <w:tcW w:w="1447" w:type="dxa"/>
            <w:textDirection w:val="lrTb"/>
            <w:noWrap w:val="false"/>
          </w:tcPr>
          <w:p>
            <w:pPr>
              <w:pStyle w:val="999"/>
              <w:pBdr/>
              <w:spacing/>
              <w:ind/>
              <w:rPr>
                <w:rFonts w:ascii="Times New Roman"/>
              </w:rPr>
            </w:pPr>
            <w:r>
              <w:rPr>
                <w:rFonts w:ascii="Times New Roman"/>
              </w:rPr>
            </w:r>
            <w:r>
              <w:rPr>
                <w:rFonts w:ascii="Times New Roman"/>
              </w:rPr>
            </w:r>
          </w:p>
        </w:tc>
        <w:tc>
          <w:tcPr>
            <w:tcBorders/>
            <w:tcW w:w="1592" w:type="dxa"/>
            <w:textDirection w:val="lrTb"/>
            <w:noWrap w:val="false"/>
          </w:tcPr>
          <w:p>
            <w:pPr>
              <w:pStyle w:val="999"/>
              <w:pBdr/>
              <w:spacing/>
              <w:ind/>
              <w:rPr>
                <w:rFonts w:ascii="Times New Roman"/>
              </w:rPr>
            </w:pPr>
            <w:r>
              <w:rPr>
                <w:rFonts w:ascii="Times New Roman"/>
              </w:rPr>
            </w:r>
            <w:r>
              <w:rPr>
                <w:rFonts w:ascii="Times New Roman"/>
              </w:rPr>
            </w:r>
          </w:p>
        </w:tc>
      </w:tr>
    </w:tbl>
    <w:p>
      <w:pPr>
        <w:pStyle w:val="997"/>
        <w:pBdr/>
        <w:spacing w:before="173"/>
        <w:ind/>
        <w:rPr>
          <w:bCs/>
          <w:i/>
          <w:sz w:val="20"/>
          <w:szCs w:val="20"/>
        </w:rPr>
      </w:pPr>
      <w:r>
        <w:rPr>
          <w:i/>
          <w:sz w:val="20"/>
          <w:highlight w:val="none"/>
        </w:rPr>
      </w:r>
      <w:r>
        <w:rPr>
          <w:i/>
          <w:sz w:val="20"/>
          <w:highlight w:val="none"/>
        </w:rPr>
      </w:r>
    </w:p>
    <w:p>
      <w:pPr>
        <w:pStyle w:val="997"/>
        <w:pBdr/>
        <w:spacing w:before="173"/>
        <w:ind/>
        <w:rPr>
          <w:bCs/>
          <w:i/>
          <w:sz w:val="20"/>
          <w:szCs w:val="20"/>
          <w:highlight w:val="none"/>
        </w:rPr>
      </w:pPr>
      <w:r>
        <w:rPr>
          <w:i/>
          <w:sz w:val="20"/>
        </w:rPr>
        <mc:AlternateContent>
          <mc:Choice Requires="wpg">
            <w:drawing>
              <wp:anchor xmlns:wp="http://schemas.openxmlformats.org/drawingml/2006/wordprocessingDrawing" xmlns:wp14="http://schemas.microsoft.com/office/word/2010/wordprocessingDrawing" distT="0" distB="0" distL="0" distR="0" simplePos="0" relativeHeight="251677696" behindDoc="1" locked="0" layoutInCell="1" allowOverlap="1">
                <wp:simplePos x="0" y="0"/>
                <wp:positionH relativeFrom="page">
                  <wp:posOffset>792259</wp:posOffset>
                </wp:positionH>
                <wp:positionV relativeFrom="paragraph">
                  <wp:posOffset>280522</wp:posOffset>
                </wp:positionV>
                <wp:extent cx="6066155" cy="341630"/>
                <wp:effectExtent l="0" t="0" r="0" b="0"/>
                <wp:wrapTopAndBottom/>
                <wp:docPr id="15" name="Textbox 28"/>
                <wp:cNvGraphicFramePr/>
                <a:graphic xmlns:a="http://schemas.openxmlformats.org/drawingml/2006/main">
                  <a:graphicData uri="http://schemas.microsoft.com/office/word/2010/wordprocessingShape">
                    <wps:wsp>
                      <wps:cNvPr id="0" name=""/>
                      <wps:cNvSpPr txBox="1"/>
                      <wps:spPr bwMode="auto">
                        <a:xfrm>
                          <a:off x="0" y="0"/>
                          <a:ext cx="6066155" cy="341630"/>
                        </a:xfrm>
                        <a:prstGeom prst="rect">
                          <a:avLst/>
                        </a:prstGeom>
                        <a:solidFill>
                          <a:srgbClr val="F2F2F2"/>
                        </a:solidFill>
                      </wps:spPr>
                      <wps:txbx>
                        <w:txbxContent>
                          <w:p>
                            <w:pPr>
                              <w:pStyle w:val="997"/>
                              <w:pBdr/>
                              <w:spacing/>
                              <w:ind w:right="52" w:left="3"/>
                              <w:jc w:val="center"/>
                              <w:rPr>
                                <w:color w:val="000000"/>
                              </w:rPr>
                            </w:pPr>
                            <w:r>
                              <w:rPr>
                                <w:color w:val="1f4c78"/>
                                <w:spacing w:val="-2"/>
                              </w:rPr>
                              <w:t xml:space="preserve">SEZIONE</w:t>
                            </w:r>
                            <w:r>
                              <w:rPr>
                                <w:color w:val="1f4c78"/>
                                <w:spacing w:val="-5"/>
                              </w:rPr>
                              <w:t xml:space="preserve">VI</w:t>
                            </w:r>
                            <w:r>
                              <w:rPr>
                                <w:color w:val="000000"/>
                              </w:rPr>
                            </w:r>
                          </w:p>
                          <w:p>
                            <w:pPr>
                              <w:pStyle w:val="997"/>
                              <w:pBdr/>
                              <w:spacing/>
                              <w:ind w:right="52"/>
                              <w:jc w:val="center"/>
                              <w:rPr>
                                <w:color w:val="000000"/>
                              </w:rPr>
                            </w:pPr>
                            <w:r>
                              <w:rPr>
                                <w:color w:val="1f4c78"/>
                                <w:spacing w:val="-2"/>
                              </w:rPr>
                              <w:t xml:space="preserve">STRUTTURAAMMINISTRATIVAEORGANIZZATIVA</w:t>
                            </w:r>
                            <w:r>
                              <w:rPr>
                                <w:color w:val="000000"/>
                              </w:rPr>
                            </w:r>
                          </w:p>
                        </w:txbxContent>
                      </wps:txbx>
                      <wps:bodyPr wrap="square" lIns="0" tIns="0" rIns="0" bIns="0" rtlCol="0"/>
                    </wps:wsp>
                  </a:graphicData>
                </a:graphic>
              </wp:anchor>
            </w:drawing>
          </mc:Choice>
          <mc:Fallback>
            <w:pict>
              <v:shape id="shape 22" o:spid="_x0000_s22" o:spt="202" type="#_x0000_t202" style="position:absolute;z-index:-251677696;o:allowoverlap:true;o:allowincell:true;mso-position-horizontal-relative:page;margin-left:62.38pt;mso-position-horizontal:absolute;mso-position-vertical-relative:text;margin-top:22.09pt;mso-position-vertical:absolute;width:477.65pt;height:26.90pt;mso-wrap-distance-left:0.00pt;mso-wrap-distance-top:0.00pt;mso-wrap-distance-right:0.00pt;mso-wrap-distance-bottom:0.00pt;visibility:visible;" fillcolor="#F2F2F2">
                <w10:wrap type="topAndBottom"/>
                <v:textbox inset="0,0,0,0">
                  <w:txbxContent>
                    <w:p>
                      <w:pPr>
                        <w:pStyle w:val="997"/>
                        <w:pBdr/>
                        <w:spacing/>
                        <w:ind w:right="52" w:left="3"/>
                        <w:jc w:val="center"/>
                        <w:rPr>
                          <w:color w:val="000000"/>
                        </w:rPr>
                      </w:pPr>
                      <w:r>
                        <w:rPr>
                          <w:color w:val="1f4c78"/>
                          <w:spacing w:val="-2"/>
                        </w:rPr>
                        <w:t xml:space="preserve">SEZIONE</w:t>
                      </w:r>
                      <w:r>
                        <w:rPr>
                          <w:color w:val="1f4c78"/>
                          <w:spacing w:val="-5"/>
                        </w:rPr>
                        <w:t xml:space="preserve">VI</w:t>
                      </w:r>
                      <w:r>
                        <w:rPr>
                          <w:color w:val="000000"/>
                        </w:rPr>
                      </w:r>
                    </w:p>
                    <w:p>
                      <w:pPr>
                        <w:pStyle w:val="997"/>
                        <w:pBdr/>
                        <w:spacing/>
                        <w:ind w:right="52"/>
                        <w:jc w:val="center"/>
                        <w:rPr>
                          <w:color w:val="000000"/>
                        </w:rPr>
                      </w:pPr>
                      <w:r>
                        <w:rPr>
                          <w:color w:val="1f4c78"/>
                          <w:spacing w:val="-2"/>
                        </w:rPr>
                        <w:t xml:space="preserve">STRUTTURAAMMINISTRATIVAEORGANIZZATIVA</w:t>
                      </w:r>
                      <w:r>
                        <w:rPr>
                          <w:color w:val="000000"/>
                        </w:rPr>
                      </w:r>
                    </w:p>
                  </w:txbxContent>
                </v:textbox>
              </v:shape>
            </w:pict>
          </mc:Fallback>
        </mc:AlternateContent>
      </w:r>
      <w:r>
        <w:rPr>
          <w:i/>
          <w:sz w:val="20"/>
        </w:rPr>
      </w:r>
    </w:p>
    <w:p>
      <w:pPr>
        <w:pStyle w:val="998"/>
        <w:numPr>
          <w:ilvl w:val="1"/>
          <w:numId w:val="1"/>
        </w:numPr>
        <w:pBdr/>
        <w:tabs>
          <w:tab w:val="left" w:leader="none" w:pos="849"/>
        </w:tabs>
        <w:spacing w:before="268"/>
        <w:ind w:hanging="566" w:left="849"/>
        <w:rPr>
          <w:i/>
        </w:rPr>
      </w:pPr>
      <w:r>
        <w:rPr>
          <w:i/>
          <w:color w:val="1f4c78"/>
          <w:spacing w:val="-2"/>
        </w:rPr>
        <w:t xml:space="preserve">Soggetti</w:t>
      </w:r>
      <w:r>
        <w:rPr>
          <w:i/>
          <w:color w:val="1f4c78"/>
          <w:spacing w:val="-11"/>
        </w:rPr>
        <w:t xml:space="preserve"> </w:t>
      </w:r>
      <w:r>
        <w:rPr>
          <w:i/>
          <w:color w:val="1f4c78"/>
          <w:spacing w:val="-2"/>
        </w:rPr>
        <w:t xml:space="preserve">responsabili/dedicati</w:t>
      </w:r>
      <w:r>
        <w:rPr>
          <w:i/>
          <w:color w:val="1f4c78"/>
          <w:spacing w:val="-10"/>
        </w:rPr>
        <w:t xml:space="preserve"> </w:t>
      </w:r>
      <w:r>
        <w:rPr>
          <w:i/>
          <w:color w:val="1f4c78"/>
          <w:spacing w:val="-2"/>
        </w:rPr>
        <w:t xml:space="preserve">all’attuazione</w:t>
      </w:r>
      <w:r>
        <w:rPr>
          <w:i/>
          <w:color w:val="1f4c78"/>
          <w:spacing w:val="-10"/>
        </w:rPr>
        <w:t xml:space="preserve"> </w:t>
      </w:r>
      <w:r>
        <w:rPr>
          <w:i/>
          <w:color w:val="1f4c78"/>
          <w:spacing w:val="-2"/>
        </w:rPr>
        <w:t xml:space="preserve">dell’operazione</w:t>
      </w:r>
      <w:r>
        <w:rPr>
          <w:i/>
        </w:rPr>
      </w:r>
    </w:p>
    <w:tbl>
      <w:tblPr>
        <w:tblW w:w="0" w:type="auto"/>
        <w:tblInd w:w="29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2256"/>
        <w:gridCol w:w="2409"/>
        <w:gridCol w:w="2415"/>
        <w:gridCol w:w="2424"/>
      </w:tblGrid>
      <w:tr>
        <w:trPr>
          <w:trHeight w:val="537"/>
        </w:trPr>
        <w:tc>
          <w:tcPr>
            <w:shd w:val="clear" w:color="auto" w:fill="f2f2f2"/>
            <w:tcBorders/>
            <w:tcW w:w="2256" w:type="dxa"/>
            <w:textDirection w:val="lrTb"/>
            <w:noWrap w:val="false"/>
          </w:tcPr>
          <w:p>
            <w:pPr>
              <w:pStyle w:val="999"/>
              <w:pBdr/>
              <w:spacing/>
              <w:ind w:left="360"/>
              <w:rPr>
                <w:b/>
              </w:rPr>
            </w:pPr>
            <w:r>
              <w:rPr>
                <w:b/>
                <w:color w:val="44536a"/>
              </w:rPr>
              <w:t xml:space="preserve">Nome</w:t>
            </w:r>
            <w:r>
              <w:rPr>
                <w:b/>
                <w:color w:val="44536a"/>
                <w:spacing w:val="-2"/>
              </w:rPr>
              <w:t xml:space="preserve"> </w:t>
            </w:r>
            <w:r>
              <w:rPr>
                <w:b/>
                <w:color w:val="44536a"/>
              </w:rPr>
              <w:t xml:space="preserve">e</w:t>
            </w:r>
            <w:r>
              <w:rPr>
                <w:b/>
                <w:color w:val="44536a"/>
                <w:spacing w:val="-1"/>
              </w:rPr>
              <w:t xml:space="preserve"> </w:t>
            </w:r>
            <w:r>
              <w:rPr>
                <w:b/>
                <w:color w:val="44536a"/>
                <w:spacing w:val="-2"/>
              </w:rPr>
              <w:t xml:space="preserve">Cognome</w:t>
            </w:r>
            <w:r>
              <w:rPr>
                <w:b/>
              </w:rPr>
            </w:r>
          </w:p>
        </w:tc>
        <w:tc>
          <w:tcPr>
            <w:shd w:val="clear" w:color="auto" w:fill="f2f2f2"/>
            <w:tcBorders/>
            <w:tcW w:w="2409" w:type="dxa"/>
            <w:textDirection w:val="lrTb"/>
            <w:noWrap w:val="false"/>
          </w:tcPr>
          <w:p>
            <w:pPr>
              <w:pStyle w:val="999"/>
              <w:pBdr/>
              <w:spacing w:line="270" w:lineRule="atLeast"/>
              <w:ind w:right="187" w:hanging="363" w:left="707"/>
              <w:rPr>
                <w:b/>
              </w:rPr>
            </w:pPr>
            <w:r>
              <w:rPr>
                <w:b/>
                <w:color w:val="44536a"/>
              </w:rPr>
              <w:t xml:space="preserve">Ruolo</w:t>
            </w:r>
            <w:r>
              <w:rPr>
                <w:b/>
                <w:color w:val="44536a"/>
                <w:spacing w:val="-13"/>
              </w:rPr>
              <w:t xml:space="preserve"> </w:t>
            </w:r>
            <w:r>
              <w:rPr>
                <w:b/>
                <w:color w:val="44536a"/>
              </w:rPr>
              <w:t xml:space="preserve">all’interno</w:t>
            </w:r>
            <w:r>
              <w:rPr>
                <w:b/>
                <w:color w:val="44536a"/>
                <w:spacing w:val="-12"/>
              </w:rPr>
              <w:t xml:space="preserve"> </w:t>
            </w:r>
            <w:r>
              <w:rPr>
                <w:b/>
                <w:color w:val="44536a"/>
              </w:rPr>
              <w:t xml:space="preserve">del </w:t>
            </w:r>
            <w:r>
              <w:rPr>
                <w:b/>
                <w:color w:val="44536a"/>
                <w:spacing w:val="-2"/>
              </w:rPr>
              <w:t xml:space="preserve">beneficiario</w:t>
            </w:r>
            <w:r>
              <w:rPr>
                <w:b/>
              </w:rPr>
            </w:r>
          </w:p>
        </w:tc>
        <w:tc>
          <w:tcPr>
            <w:shd w:val="clear" w:color="auto" w:fill="f2f2f2"/>
            <w:tcBorders/>
            <w:tcW w:w="2415" w:type="dxa"/>
            <w:textDirection w:val="lrTb"/>
            <w:noWrap w:val="false"/>
          </w:tcPr>
          <w:p>
            <w:pPr>
              <w:pStyle w:val="999"/>
              <w:pBdr/>
              <w:spacing w:line="270" w:lineRule="atLeast"/>
              <w:ind w:right="145" w:hanging="244" w:left="545"/>
              <w:rPr>
                <w:b/>
              </w:rPr>
            </w:pPr>
            <w:r>
              <w:rPr>
                <w:b/>
                <w:color w:val="44536a"/>
              </w:rPr>
              <w:t xml:space="preserve">Ruolo</w:t>
            </w:r>
            <w:r>
              <w:rPr>
                <w:b/>
                <w:color w:val="44536a"/>
                <w:spacing w:val="-13"/>
              </w:rPr>
              <w:t xml:space="preserve"> </w:t>
            </w:r>
            <w:r>
              <w:rPr>
                <w:b/>
                <w:color w:val="44536a"/>
              </w:rPr>
              <w:t xml:space="preserve">nell’attuazione </w:t>
            </w:r>
            <w:r>
              <w:rPr>
                <w:b/>
                <w:color w:val="44536a"/>
                <w:spacing w:val="-2"/>
              </w:rPr>
              <w:t xml:space="preserve">dell’operazione</w:t>
            </w:r>
            <w:r>
              <w:rPr>
                <w:b/>
              </w:rPr>
            </w:r>
          </w:p>
        </w:tc>
        <w:tc>
          <w:tcPr>
            <w:shd w:val="clear" w:color="auto" w:fill="f2f2f2"/>
            <w:tcBorders/>
            <w:tcW w:w="2424" w:type="dxa"/>
            <w:textDirection w:val="lrTb"/>
            <w:noWrap w:val="false"/>
          </w:tcPr>
          <w:p>
            <w:pPr>
              <w:pStyle w:val="999"/>
              <w:pBdr/>
              <w:spacing w:line="270" w:lineRule="atLeast"/>
              <w:ind w:right="164" w:hanging="445" w:left="764"/>
              <w:rPr>
                <w:b/>
              </w:rPr>
            </w:pPr>
            <w:r>
              <w:rPr>
                <w:b/>
                <w:color w:val="44536a"/>
                <w:spacing w:val="-2"/>
              </w:rPr>
              <w:t xml:space="preserve">Esperienze/expertise precedenti</w:t>
            </w:r>
            <w:r>
              <w:rPr>
                <w:b/>
              </w:rPr>
            </w:r>
          </w:p>
        </w:tc>
      </w:tr>
      <w:tr>
        <w:trPr>
          <w:trHeight w:val="297"/>
        </w:trPr>
        <w:tc>
          <w:tcPr>
            <w:tcBorders/>
            <w:tcW w:w="2256" w:type="dxa"/>
            <w:textDirection w:val="lrTb"/>
            <w:noWrap w:val="false"/>
          </w:tcPr>
          <w:p>
            <w:pPr>
              <w:pStyle w:val="999"/>
              <w:pBdr/>
              <w:spacing/>
              <w:ind/>
              <w:rPr>
                <w:rFonts w:ascii="Times New Roman"/>
              </w:rPr>
            </w:pPr>
            <w:r>
              <w:rPr>
                <w:rFonts w:ascii="Times New Roman"/>
              </w:rPr>
            </w:r>
            <w:r>
              <w:rPr>
                <w:rFonts w:ascii="Times New Roman"/>
              </w:rPr>
            </w:r>
          </w:p>
        </w:tc>
        <w:tc>
          <w:tcPr>
            <w:tcBorders/>
            <w:tcW w:w="2409" w:type="dxa"/>
            <w:textDirection w:val="lrTb"/>
            <w:noWrap w:val="false"/>
          </w:tcPr>
          <w:p>
            <w:pPr>
              <w:pStyle w:val="999"/>
              <w:pBdr/>
              <w:spacing/>
              <w:ind/>
              <w:rPr>
                <w:rFonts w:ascii="Times New Roman"/>
              </w:rPr>
            </w:pPr>
            <w:r>
              <w:rPr>
                <w:rFonts w:ascii="Times New Roman"/>
              </w:rPr>
            </w:r>
            <w:r>
              <w:rPr>
                <w:rFonts w:ascii="Times New Roman"/>
              </w:rPr>
            </w:r>
          </w:p>
        </w:tc>
        <w:tc>
          <w:tcPr>
            <w:tcBorders/>
            <w:tcW w:w="2415" w:type="dxa"/>
            <w:textDirection w:val="lrTb"/>
            <w:noWrap w:val="false"/>
          </w:tcPr>
          <w:p>
            <w:pPr>
              <w:pStyle w:val="999"/>
              <w:pBdr/>
              <w:spacing/>
              <w:ind/>
              <w:rPr>
                <w:rFonts w:ascii="Times New Roman"/>
              </w:rPr>
            </w:pPr>
            <w:r>
              <w:rPr>
                <w:rFonts w:ascii="Times New Roman"/>
              </w:rPr>
            </w:r>
            <w:r>
              <w:rPr>
                <w:rFonts w:ascii="Times New Roman"/>
              </w:rPr>
            </w:r>
          </w:p>
        </w:tc>
        <w:tc>
          <w:tcPr>
            <w:tcBorders/>
            <w:tcW w:w="2424" w:type="dxa"/>
            <w:textDirection w:val="lrTb"/>
            <w:noWrap w:val="false"/>
          </w:tcPr>
          <w:p>
            <w:pPr>
              <w:pStyle w:val="999"/>
              <w:pBdr/>
              <w:spacing/>
              <w:ind/>
              <w:rPr>
                <w:rFonts w:ascii="Times New Roman"/>
              </w:rPr>
            </w:pPr>
            <w:r>
              <w:rPr>
                <w:rFonts w:ascii="Times New Roman"/>
              </w:rPr>
            </w:r>
            <w:r>
              <w:rPr>
                <w:rFonts w:ascii="Times New Roman"/>
              </w:rPr>
            </w:r>
          </w:p>
        </w:tc>
      </w:tr>
      <w:tr>
        <w:trPr>
          <w:trHeight w:val="300"/>
        </w:trPr>
        <w:tc>
          <w:tcPr>
            <w:tcBorders/>
            <w:tcW w:w="2256" w:type="dxa"/>
            <w:textDirection w:val="lrTb"/>
            <w:noWrap w:val="false"/>
          </w:tcPr>
          <w:p>
            <w:pPr>
              <w:pStyle w:val="999"/>
              <w:pBdr/>
              <w:spacing/>
              <w:ind/>
              <w:rPr>
                <w:rFonts w:ascii="Times New Roman"/>
              </w:rPr>
            </w:pPr>
            <w:r>
              <w:rPr>
                <w:rFonts w:ascii="Times New Roman"/>
              </w:rPr>
            </w:r>
            <w:r>
              <w:rPr>
                <w:rFonts w:ascii="Times New Roman"/>
              </w:rPr>
            </w:r>
          </w:p>
        </w:tc>
        <w:tc>
          <w:tcPr>
            <w:tcBorders/>
            <w:tcW w:w="2409" w:type="dxa"/>
            <w:textDirection w:val="lrTb"/>
            <w:noWrap w:val="false"/>
          </w:tcPr>
          <w:p>
            <w:pPr>
              <w:pStyle w:val="999"/>
              <w:pBdr/>
              <w:spacing/>
              <w:ind/>
              <w:rPr>
                <w:rFonts w:ascii="Times New Roman"/>
              </w:rPr>
            </w:pPr>
            <w:r>
              <w:rPr>
                <w:rFonts w:ascii="Times New Roman"/>
              </w:rPr>
            </w:r>
            <w:r>
              <w:rPr>
                <w:rFonts w:ascii="Times New Roman"/>
              </w:rPr>
            </w:r>
          </w:p>
        </w:tc>
        <w:tc>
          <w:tcPr>
            <w:tcBorders/>
            <w:tcW w:w="2415" w:type="dxa"/>
            <w:textDirection w:val="lrTb"/>
            <w:noWrap w:val="false"/>
          </w:tcPr>
          <w:p>
            <w:pPr>
              <w:pStyle w:val="999"/>
              <w:pBdr/>
              <w:spacing/>
              <w:ind/>
              <w:rPr>
                <w:rFonts w:ascii="Times New Roman"/>
              </w:rPr>
            </w:pPr>
            <w:r>
              <w:rPr>
                <w:rFonts w:ascii="Times New Roman"/>
              </w:rPr>
            </w:r>
            <w:r>
              <w:rPr>
                <w:rFonts w:ascii="Times New Roman"/>
              </w:rPr>
            </w:r>
          </w:p>
        </w:tc>
        <w:tc>
          <w:tcPr>
            <w:tcBorders/>
            <w:tcW w:w="2424" w:type="dxa"/>
            <w:textDirection w:val="lrTb"/>
            <w:noWrap w:val="false"/>
          </w:tcPr>
          <w:p>
            <w:pPr>
              <w:pStyle w:val="999"/>
              <w:pBdr/>
              <w:spacing/>
              <w:ind/>
              <w:rPr>
                <w:rFonts w:ascii="Times New Roman"/>
              </w:rPr>
            </w:pPr>
            <w:r>
              <w:rPr>
                <w:rFonts w:ascii="Times New Roman"/>
              </w:rPr>
            </w:r>
            <w:r>
              <w:rPr>
                <w:rFonts w:ascii="Times New Roman"/>
              </w:rPr>
            </w:r>
          </w:p>
        </w:tc>
      </w:tr>
      <w:tr>
        <w:trPr>
          <w:trHeight w:val="300"/>
        </w:trPr>
        <w:tc>
          <w:tcPr>
            <w:tcBorders/>
            <w:tcW w:w="2256" w:type="dxa"/>
            <w:textDirection w:val="lrTb"/>
            <w:noWrap w:val="false"/>
          </w:tcPr>
          <w:p>
            <w:pPr>
              <w:pStyle w:val="999"/>
              <w:pBdr/>
              <w:spacing/>
              <w:ind/>
              <w:rPr>
                <w:rFonts w:ascii="Times New Roman"/>
              </w:rPr>
            </w:pPr>
            <w:r>
              <w:rPr>
                <w:rFonts w:ascii="Times New Roman"/>
              </w:rPr>
            </w:r>
            <w:r>
              <w:rPr>
                <w:rFonts w:ascii="Times New Roman"/>
              </w:rPr>
            </w:r>
          </w:p>
        </w:tc>
        <w:tc>
          <w:tcPr>
            <w:tcBorders/>
            <w:tcW w:w="2409" w:type="dxa"/>
            <w:textDirection w:val="lrTb"/>
            <w:noWrap w:val="false"/>
          </w:tcPr>
          <w:p>
            <w:pPr>
              <w:pStyle w:val="999"/>
              <w:pBdr/>
              <w:spacing/>
              <w:ind/>
              <w:rPr>
                <w:rFonts w:ascii="Times New Roman"/>
              </w:rPr>
            </w:pPr>
            <w:r>
              <w:rPr>
                <w:rFonts w:ascii="Times New Roman"/>
              </w:rPr>
            </w:r>
            <w:r>
              <w:rPr>
                <w:rFonts w:ascii="Times New Roman"/>
              </w:rPr>
            </w:r>
          </w:p>
        </w:tc>
        <w:tc>
          <w:tcPr>
            <w:tcBorders/>
            <w:tcW w:w="2415" w:type="dxa"/>
            <w:textDirection w:val="lrTb"/>
            <w:noWrap w:val="false"/>
          </w:tcPr>
          <w:p>
            <w:pPr>
              <w:pStyle w:val="999"/>
              <w:pBdr/>
              <w:spacing/>
              <w:ind/>
              <w:rPr>
                <w:rFonts w:ascii="Times New Roman"/>
              </w:rPr>
            </w:pPr>
            <w:r>
              <w:rPr>
                <w:rFonts w:ascii="Times New Roman"/>
              </w:rPr>
            </w:r>
            <w:r>
              <w:rPr>
                <w:rFonts w:ascii="Times New Roman"/>
              </w:rPr>
            </w:r>
          </w:p>
        </w:tc>
        <w:tc>
          <w:tcPr>
            <w:tcBorders/>
            <w:tcW w:w="2424" w:type="dxa"/>
            <w:textDirection w:val="lrTb"/>
            <w:noWrap w:val="false"/>
          </w:tcPr>
          <w:p>
            <w:pPr>
              <w:pStyle w:val="999"/>
              <w:pBdr/>
              <w:spacing/>
              <w:ind/>
              <w:rPr>
                <w:rFonts w:ascii="Times New Roman"/>
              </w:rPr>
            </w:pPr>
            <w:r>
              <w:rPr>
                <w:rFonts w:ascii="Times New Roman"/>
              </w:rPr>
            </w:r>
            <w:r>
              <w:rPr>
                <w:rFonts w:ascii="Times New Roman"/>
              </w:rPr>
            </w:r>
          </w:p>
        </w:tc>
      </w:tr>
      <w:tr>
        <w:trPr>
          <w:trHeight w:val="300"/>
        </w:trPr>
        <w:tc>
          <w:tcPr>
            <w:tcBorders/>
            <w:tcW w:w="2256" w:type="dxa"/>
            <w:textDirection w:val="lrTb"/>
            <w:noWrap w:val="false"/>
          </w:tcPr>
          <w:p>
            <w:pPr>
              <w:pStyle w:val="999"/>
              <w:pBdr/>
              <w:spacing/>
              <w:ind/>
              <w:rPr>
                <w:rFonts w:ascii="Times New Roman"/>
              </w:rPr>
            </w:pPr>
            <w:r>
              <w:rPr>
                <w:rFonts w:ascii="Times New Roman"/>
              </w:rPr>
            </w:r>
            <w:r>
              <w:rPr>
                <w:rFonts w:ascii="Times New Roman"/>
              </w:rPr>
            </w:r>
          </w:p>
        </w:tc>
        <w:tc>
          <w:tcPr>
            <w:tcBorders/>
            <w:tcW w:w="2409" w:type="dxa"/>
            <w:textDirection w:val="lrTb"/>
            <w:noWrap w:val="false"/>
          </w:tcPr>
          <w:p>
            <w:pPr>
              <w:pStyle w:val="999"/>
              <w:pBdr/>
              <w:spacing/>
              <w:ind/>
              <w:rPr>
                <w:rFonts w:ascii="Times New Roman"/>
              </w:rPr>
            </w:pPr>
            <w:r>
              <w:rPr>
                <w:rFonts w:ascii="Times New Roman"/>
              </w:rPr>
            </w:r>
            <w:r>
              <w:rPr>
                <w:rFonts w:ascii="Times New Roman"/>
              </w:rPr>
            </w:r>
          </w:p>
        </w:tc>
        <w:tc>
          <w:tcPr>
            <w:tcBorders/>
            <w:tcW w:w="2415" w:type="dxa"/>
            <w:textDirection w:val="lrTb"/>
            <w:noWrap w:val="false"/>
          </w:tcPr>
          <w:p>
            <w:pPr>
              <w:pStyle w:val="999"/>
              <w:pBdr/>
              <w:spacing/>
              <w:ind/>
              <w:rPr>
                <w:rFonts w:ascii="Times New Roman"/>
              </w:rPr>
            </w:pPr>
            <w:r>
              <w:rPr>
                <w:rFonts w:ascii="Times New Roman"/>
              </w:rPr>
            </w:r>
            <w:r>
              <w:rPr>
                <w:rFonts w:ascii="Times New Roman"/>
              </w:rPr>
            </w:r>
          </w:p>
        </w:tc>
        <w:tc>
          <w:tcPr>
            <w:tcBorders/>
            <w:tcW w:w="2424" w:type="dxa"/>
            <w:textDirection w:val="lrTb"/>
            <w:noWrap w:val="false"/>
          </w:tcPr>
          <w:p>
            <w:pPr>
              <w:pStyle w:val="999"/>
              <w:pBdr/>
              <w:spacing/>
              <w:ind/>
              <w:rPr>
                <w:rFonts w:ascii="Times New Roman"/>
              </w:rPr>
            </w:pPr>
            <w:r>
              <w:rPr>
                <w:rFonts w:ascii="Times New Roman"/>
              </w:rPr>
            </w:r>
            <w:r>
              <w:rPr>
                <w:rFonts w:ascii="Times New Roman"/>
              </w:rPr>
            </w:r>
          </w:p>
        </w:tc>
      </w:tr>
      <w:tr>
        <w:trPr>
          <w:trHeight w:val="300"/>
        </w:trPr>
        <w:tc>
          <w:tcPr>
            <w:tcBorders/>
            <w:tcW w:w="2256" w:type="dxa"/>
            <w:textDirection w:val="lrTb"/>
            <w:noWrap w:val="false"/>
          </w:tcPr>
          <w:p>
            <w:pPr>
              <w:pStyle w:val="999"/>
              <w:pBdr/>
              <w:spacing/>
              <w:ind/>
              <w:rPr>
                <w:rFonts w:ascii="Times New Roman"/>
              </w:rPr>
            </w:pPr>
            <w:r>
              <w:rPr>
                <w:rFonts w:ascii="Times New Roman"/>
              </w:rPr>
            </w:r>
            <w:r>
              <w:rPr>
                <w:rFonts w:ascii="Times New Roman"/>
              </w:rPr>
            </w:r>
          </w:p>
        </w:tc>
        <w:tc>
          <w:tcPr>
            <w:tcBorders/>
            <w:tcW w:w="2409" w:type="dxa"/>
            <w:textDirection w:val="lrTb"/>
            <w:noWrap w:val="false"/>
          </w:tcPr>
          <w:p>
            <w:pPr>
              <w:pStyle w:val="999"/>
              <w:pBdr/>
              <w:spacing/>
              <w:ind/>
              <w:rPr>
                <w:rFonts w:ascii="Times New Roman"/>
              </w:rPr>
            </w:pPr>
            <w:r>
              <w:rPr>
                <w:rFonts w:ascii="Times New Roman"/>
              </w:rPr>
            </w:r>
            <w:r>
              <w:rPr>
                <w:rFonts w:ascii="Times New Roman"/>
              </w:rPr>
            </w:r>
          </w:p>
        </w:tc>
        <w:tc>
          <w:tcPr>
            <w:tcBorders/>
            <w:tcW w:w="2415" w:type="dxa"/>
            <w:textDirection w:val="lrTb"/>
            <w:noWrap w:val="false"/>
          </w:tcPr>
          <w:p>
            <w:pPr>
              <w:pStyle w:val="999"/>
              <w:pBdr/>
              <w:spacing/>
              <w:ind/>
              <w:rPr>
                <w:rFonts w:ascii="Times New Roman"/>
              </w:rPr>
            </w:pPr>
            <w:r>
              <w:rPr>
                <w:rFonts w:ascii="Times New Roman"/>
              </w:rPr>
            </w:r>
            <w:r>
              <w:rPr>
                <w:rFonts w:ascii="Times New Roman"/>
              </w:rPr>
            </w:r>
          </w:p>
        </w:tc>
        <w:tc>
          <w:tcPr>
            <w:tcBorders/>
            <w:tcW w:w="2424" w:type="dxa"/>
            <w:textDirection w:val="lrTb"/>
            <w:noWrap w:val="false"/>
          </w:tcPr>
          <w:p>
            <w:pPr>
              <w:pStyle w:val="999"/>
              <w:pBdr/>
              <w:spacing/>
              <w:ind/>
              <w:rPr>
                <w:rFonts w:ascii="Times New Roman"/>
              </w:rPr>
            </w:pPr>
            <w:r>
              <w:rPr>
                <w:rFonts w:ascii="Times New Roman"/>
              </w:rPr>
            </w:r>
            <w:r>
              <w:rPr>
                <w:rFonts w:ascii="Times New Roman"/>
              </w:rPr>
            </w:r>
          </w:p>
        </w:tc>
      </w:tr>
      <w:tr>
        <w:trPr>
          <w:trHeight w:val="300"/>
        </w:trPr>
        <w:tc>
          <w:tcPr>
            <w:tcBorders/>
            <w:tcW w:w="2256" w:type="dxa"/>
            <w:textDirection w:val="lrTb"/>
            <w:noWrap w:val="false"/>
          </w:tcPr>
          <w:p>
            <w:pPr>
              <w:pStyle w:val="999"/>
              <w:pBdr/>
              <w:spacing/>
              <w:ind/>
              <w:rPr>
                <w:rFonts w:ascii="Times New Roman"/>
              </w:rPr>
            </w:pPr>
            <w:r>
              <w:rPr>
                <w:rFonts w:ascii="Times New Roman"/>
              </w:rPr>
            </w:r>
            <w:r>
              <w:rPr>
                <w:rFonts w:ascii="Times New Roman"/>
              </w:rPr>
            </w:r>
          </w:p>
        </w:tc>
        <w:tc>
          <w:tcPr>
            <w:tcBorders/>
            <w:tcW w:w="2409" w:type="dxa"/>
            <w:textDirection w:val="lrTb"/>
            <w:noWrap w:val="false"/>
          </w:tcPr>
          <w:p>
            <w:pPr>
              <w:pStyle w:val="999"/>
              <w:pBdr/>
              <w:spacing/>
              <w:ind/>
              <w:rPr>
                <w:rFonts w:ascii="Times New Roman"/>
              </w:rPr>
            </w:pPr>
            <w:r>
              <w:rPr>
                <w:rFonts w:ascii="Times New Roman"/>
              </w:rPr>
            </w:r>
            <w:r>
              <w:rPr>
                <w:rFonts w:ascii="Times New Roman"/>
              </w:rPr>
            </w:r>
          </w:p>
        </w:tc>
        <w:tc>
          <w:tcPr>
            <w:tcBorders/>
            <w:tcW w:w="2415" w:type="dxa"/>
            <w:textDirection w:val="lrTb"/>
            <w:noWrap w:val="false"/>
          </w:tcPr>
          <w:p>
            <w:pPr>
              <w:pStyle w:val="999"/>
              <w:pBdr/>
              <w:spacing/>
              <w:ind/>
              <w:rPr>
                <w:rFonts w:ascii="Times New Roman"/>
              </w:rPr>
            </w:pPr>
            <w:r>
              <w:rPr>
                <w:rFonts w:ascii="Times New Roman"/>
              </w:rPr>
            </w:r>
            <w:r>
              <w:rPr>
                <w:rFonts w:ascii="Times New Roman"/>
              </w:rPr>
            </w:r>
          </w:p>
        </w:tc>
        <w:tc>
          <w:tcPr>
            <w:tcBorders/>
            <w:tcW w:w="2424" w:type="dxa"/>
            <w:textDirection w:val="lrTb"/>
            <w:noWrap w:val="false"/>
          </w:tcPr>
          <w:p>
            <w:pPr>
              <w:pStyle w:val="999"/>
              <w:pBdr/>
              <w:spacing/>
              <w:ind/>
              <w:rPr>
                <w:rFonts w:ascii="Times New Roman"/>
              </w:rPr>
            </w:pPr>
            <w:r>
              <w:rPr>
                <w:rFonts w:ascii="Times New Roman"/>
              </w:rPr>
            </w:r>
            <w:r>
              <w:rPr>
                <w:rFonts w:ascii="Times New Roman"/>
              </w:rPr>
            </w:r>
          </w:p>
        </w:tc>
      </w:tr>
      <w:tr>
        <w:trPr>
          <w:trHeight w:val="300"/>
        </w:trPr>
        <w:tc>
          <w:tcPr>
            <w:tcBorders/>
            <w:tcW w:w="2256" w:type="dxa"/>
            <w:textDirection w:val="lrTb"/>
            <w:noWrap w:val="false"/>
          </w:tcPr>
          <w:p>
            <w:pPr>
              <w:pStyle w:val="999"/>
              <w:pBdr/>
              <w:spacing/>
              <w:ind/>
              <w:rPr>
                <w:rFonts w:ascii="Times New Roman"/>
              </w:rPr>
            </w:pPr>
            <w:r>
              <w:rPr>
                <w:rFonts w:ascii="Times New Roman"/>
              </w:rPr>
            </w:r>
            <w:r>
              <w:rPr>
                <w:rFonts w:ascii="Times New Roman"/>
              </w:rPr>
            </w:r>
          </w:p>
        </w:tc>
        <w:tc>
          <w:tcPr>
            <w:tcBorders/>
            <w:tcW w:w="2409" w:type="dxa"/>
            <w:textDirection w:val="lrTb"/>
            <w:noWrap w:val="false"/>
          </w:tcPr>
          <w:p>
            <w:pPr>
              <w:pStyle w:val="999"/>
              <w:pBdr/>
              <w:spacing/>
              <w:ind/>
              <w:rPr>
                <w:rFonts w:ascii="Times New Roman"/>
              </w:rPr>
            </w:pPr>
            <w:r>
              <w:rPr>
                <w:rFonts w:ascii="Times New Roman"/>
              </w:rPr>
            </w:r>
            <w:r>
              <w:rPr>
                <w:rFonts w:ascii="Times New Roman"/>
              </w:rPr>
            </w:r>
          </w:p>
        </w:tc>
        <w:tc>
          <w:tcPr>
            <w:tcBorders/>
            <w:tcW w:w="2415" w:type="dxa"/>
            <w:textDirection w:val="lrTb"/>
            <w:noWrap w:val="false"/>
          </w:tcPr>
          <w:p>
            <w:pPr>
              <w:pStyle w:val="999"/>
              <w:pBdr/>
              <w:spacing/>
              <w:ind/>
              <w:rPr>
                <w:rFonts w:ascii="Times New Roman"/>
              </w:rPr>
            </w:pPr>
            <w:r>
              <w:rPr>
                <w:rFonts w:ascii="Times New Roman"/>
              </w:rPr>
            </w:r>
            <w:r>
              <w:rPr>
                <w:rFonts w:ascii="Times New Roman"/>
              </w:rPr>
            </w:r>
          </w:p>
        </w:tc>
        <w:tc>
          <w:tcPr>
            <w:tcBorders/>
            <w:tcW w:w="2424" w:type="dxa"/>
            <w:textDirection w:val="lrTb"/>
            <w:noWrap w:val="false"/>
          </w:tcPr>
          <w:p>
            <w:pPr>
              <w:pStyle w:val="999"/>
              <w:pBdr/>
              <w:spacing/>
              <w:ind/>
              <w:rPr>
                <w:rFonts w:ascii="Times New Roman"/>
              </w:rPr>
            </w:pPr>
            <w:r>
              <w:rPr>
                <w:rFonts w:ascii="Times New Roman"/>
              </w:rPr>
            </w:r>
            <w:r>
              <w:rPr>
                <w:rFonts w:ascii="Times New Roman"/>
              </w:rPr>
            </w:r>
          </w:p>
        </w:tc>
      </w:tr>
      <w:tr>
        <w:trPr>
          <w:trHeight w:val="300"/>
        </w:trPr>
        <w:tc>
          <w:tcPr>
            <w:tcBorders/>
            <w:tcW w:w="2256" w:type="dxa"/>
            <w:textDirection w:val="lrTb"/>
            <w:noWrap w:val="false"/>
          </w:tcPr>
          <w:p>
            <w:pPr>
              <w:pStyle w:val="999"/>
              <w:pBdr/>
              <w:spacing/>
              <w:ind/>
              <w:rPr>
                <w:rFonts w:ascii="Times New Roman"/>
              </w:rPr>
            </w:pPr>
            <w:r>
              <w:rPr>
                <w:rFonts w:ascii="Times New Roman"/>
              </w:rPr>
            </w:r>
            <w:r>
              <w:rPr>
                <w:rFonts w:ascii="Times New Roman"/>
              </w:rPr>
            </w:r>
          </w:p>
        </w:tc>
        <w:tc>
          <w:tcPr>
            <w:tcBorders/>
            <w:tcW w:w="2409" w:type="dxa"/>
            <w:textDirection w:val="lrTb"/>
            <w:noWrap w:val="false"/>
          </w:tcPr>
          <w:p>
            <w:pPr>
              <w:pStyle w:val="999"/>
              <w:pBdr/>
              <w:spacing/>
              <w:ind/>
              <w:rPr>
                <w:rFonts w:ascii="Times New Roman"/>
              </w:rPr>
            </w:pPr>
            <w:r>
              <w:rPr>
                <w:rFonts w:ascii="Times New Roman"/>
              </w:rPr>
            </w:r>
            <w:r>
              <w:rPr>
                <w:rFonts w:ascii="Times New Roman"/>
              </w:rPr>
            </w:r>
          </w:p>
        </w:tc>
        <w:tc>
          <w:tcPr>
            <w:tcBorders/>
            <w:tcW w:w="2415" w:type="dxa"/>
            <w:textDirection w:val="lrTb"/>
            <w:noWrap w:val="false"/>
          </w:tcPr>
          <w:p>
            <w:pPr>
              <w:pStyle w:val="999"/>
              <w:pBdr/>
              <w:spacing/>
              <w:ind/>
              <w:rPr>
                <w:rFonts w:ascii="Times New Roman"/>
              </w:rPr>
            </w:pPr>
            <w:r>
              <w:rPr>
                <w:rFonts w:ascii="Times New Roman"/>
              </w:rPr>
            </w:r>
            <w:r>
              <w:rPr>
                <w:rFonts w:ascii="Times New Roman"/>
              </w:rPr>
            </w:r>
          </w:p>
        </w:tc>
        <w:tc>
          <w:tcPr>
            <w:tcBorders/>
            <w:tcW w:w="2424" w:type="dxa"/>
            <w:textDirection w:val="lrTb"/>
            <w:noWrap w:val="false"/>
          </w:tcPr>
          <w:p>
            <w:pPr>
              <w:pStyle w:val="999"/>
              <w:pBdr/>
              <w:spacing/>
              <w:ind/>
              <w:rPr>
                <w:rFonts w:ascii="Times New Roman"/>
              </w:rPr>
            </w:pPr>
            <w:r>
              <w:rPr>
                <w:rFonts w:ascii="Times New Roman"/>
              </w:rPr>
            </w:r>
            <w:r>
              <w:rPr>
                <w:rFonts w:ascii="Times New Roman"/>
              </w:rPr>
            </w:r>
          </w:p>
        </w:tc>
      </w:tr>
      <w:tr>
        <w:trPr>
          <w:trHeight w:val="299"/>
        </w:trPr>
        <w:tc>
          <w:tcPr>
            <w:tcBorders/>
            <w:tcW w:w="2256" w:type="dxa"/>
            <w:textDirection w:val="lrTb"/>
            <w:noWrap w:val="false"/>
          </w:tcPr>
          <w:p>
            <w:pPr>
              <w:pStyle w:val="999"/>
              <w:pBdr/>
              <w:spacing/>
              <w:ind/>
              <w:rPr>
                <w:rFonts w:ascii="Times New Roman"/>
              </w:rPr>
            </w:pPr>
            <w:r>
              <w:rPr>
                <w:rFonts w:ascii="Times New Roman"/>
              </w:rPr>
            </w:r>
            <w:r>
              <w:rPr>
                <w:rFonts w:ascii="Times New Roman"/>
              </w:rPr>
            </w:r>
          </w:p>
        </w:tc>
        <w:tc>
          <w:tcPr>
            <w:tcBorders/>
            <w:tcW w:w="2409" w:type="dxa"/>
            <w:textDirection w:val="lrTb"/>
            <w:noWrap w:val="false"/>
          </w:tcPr>
          <w:p>
            <w:pPr>
              <w:pStyle w:val="999"/>
              <w:pBdr/>
              <w:spacing/>
              <w:ind/>
              <w:rPr>
                <w:rFonts w:ascii="Times New Roman"/>
              </w:rPr>
            </w:pPr>
            <w:r>
              <w:rPr>
                <w:rFonts w:ascii="Times New Roman"/>
              </w:rPr>
            </w:r>
            <w:r>
              <w:rPr>
                <w:rFonts w:ascii="Times New Roman"/>
              </w:rPr>
            </w:r>
          </w:p>
        </w:tc>
        <w:tc>
          <w:tcPr>
            <w:tcBorders/>
            <w:tcW w:w="2415" w:type="dxa"/>
            <w:textDirection w:val="lrTb"/>
            <w:noWrap w:val="false"/>
          </w:tcPr>
          <w:p>
            <w:pPr>
              <w:pStyle w:val="999"/>
              <w:pBdr/>
              <w:spacing/>
              <w:ind/>
              <w:rPr>
                <w:rFonts w:ascii="Times New Roman"/>
              </w:rPr>
            </w:pPr>
            <w:r>
              <w:rPr>
                <w:rFonts w:ascii="Times New Roman"/>
              </w:rPr>
            </w:r>
            <w:r>
              <w:rPr>
                <w:rFonts w:ascii="Times New Roman"/>
              </w:rPr>
            </w:r>
          </w:p>
        </w:tc>
        <w:tc>
          <w:tcPr>
            <w:tcBorders/>
            <w:tcW w:w="2424" w:type="dxa"/>
            <w:textDirection w:val="lrTb"/>
            <w:noWrap w:val="false"/>
          </w:tcPr>
          <w:p>
            <w:pPr>
              <w:pStyle w:val="999"/>
              <w:pBdr/>
              <w:spacing/>
              <w:ind/>
              <w:rPr>
                <w:rFonts w:ascii="Times New Roman"/>
              </w:rPr>
            </w:pPr>
            <w:r>
              <w:rPr>
                <w:rFonts w:ascii="Times New Roman"/>
              </w:rPr>
            </w:r>
            <w:r>
              <w:rPr>
                <w:rFonts w:ascii="Times New Roman"/>
              </w:rPr>
            </w:r>
          </w:p>
        </w:tc>
      </w:tr>
      <w:tr>
        <w:trPr>
          <w:trHeight w:val="300"/>
        </w:trPr>
        <w:tc>
          <w:tcPr>
            <w:tcBorders/>
            <w:tcW w:w="2256" w:type="dxa"/>
            <w:textDirection w:val="lrTb"/>
            <w:noWrap w:val="false"/>
          </w:tcPr>
          <w:p>
            <w:pPr>
              <w:pStyle w:val="999"/>
              <w:pBdr/>
              <w:spacing/>
              <w:ind/>
              <w:rPr>
                <w:rFonts w:ascii="Times New Roman"/>
              </w:rPr>
            </w:pPr>
            <w:r>
              <w:rPr>
                <w:rFonts w:ascii="Times New Roman"/>
              </w:rPr>
            </w:r>
            <w:r>
              <w:rPr>
                <w:rFonts w:ascii="Times New Roman"/>
              </w:rPr>
            </w:r>
          </w:p>
        </w:tc>
        <w:tc>
          <w:tcPr>
            <w:tcBorders/>
            <w:tcW w:w="2409" w:type="dxa"/>
            <w:textDirection w:val="lrTb"/>
            <w:noWrap w:val="false"/>
          </w:tcPr>
          <w:p>
            <w:pPr>
              <w:pStyle w:val="999"/>
              <w:pBdr/>
              <w:spacing/>
              <w:ind/>
              <w:rPr>
                <w:rFonts w:ascii="Times New Roman"/>
              </w:rPr>
            </w:pPr>
            <w:r>
              <w:rPr>
                <w:rFonts w:ascii="Times New Roman"/>
              </w:rPr>
            </w:r>
            <w:r>
              <w:rPr>
                <w:rFonts w:ascii="Times New Roman"/>
              </w:rPr>
            </w:r>
          </w:p>
        </w:tc>
        <w:tc>
          <w:tcPr>
            <w:tcBorders/>
            <w:tcW w:w="2415" w:type="dxa"/>
            <w:textDirection w:val="lrTb"/>
            <w:noWrap w:val="false"/>
          </w:tcPr>
          <w:p>
            <w:pPr>
              <w:pStyle w:val="999"/>
              <w:pBdr/>
              <w:spacing/>
              <w:ind/>
              <w:rPr>
                <w:rFonts w:ascii="Times New Roman"/>
              </w:rPr>
            </w:pPr>
            <w:r>
              <w:rPr>
                <w:rFonts w:ascii="Times New Roman"/>
              </w:rPr>
            </w:r>
            <w:r>
              <w:rPr>
                <w:rFonts w:ascii="Times New Roman"/>
              </w:rPr>
            </w:r>
          </w:p>
        </w:tc>
        <w:tc>
          <w:tcPr>
            <w:tcBorders/>
            <w:tcW w:w="2424" w:type="dxa"/>
            <w:textDirection w:val="lrTb"/>
            <w:noWrap w:val="false"/>
          </w:tcPr>
          <w:p>
            <w:pPr>
              <w:pStyle w:val="999"/>
              <w:pBdr/>
              <w:spacing/>
              <w:ind/>
              <w:rPr>
                <w:rFonts w:ascii="Times New Roman"/>
              </w:rPr>
            </w:pPr>
            <w:r>
              <w:rPr>
                <w:rFonts w:ascii="Times New Roman"/>
              </w:rPr>
            </w:r>
            <w:r>
              <w:rPr>
                <w:rFonts w:ascii="Times New Roman"/>
              </w:rPr>
            </w:r>
          </w:p>
        </w:tc>
      </w:tr>
    </w:tbl>
    <w:p>
      <w:pPr>
        <w:pStyle w:val="997"/>
        <w:pBdr/>
        <w:spacing w:before="1"/>
        <w:ind/>
        <w:rPr>
          <w:i/>
        </w:rPr>
      </w:pPr>
      <w:r>
        <w:rPr>
          <w:i/>
        </w:rPr>
      </w:r>
      <w:r>
        <w:rPr>
          <w:i/>
        </w:rPr>
      </w:r>
    </w:p>
    <w:p>
      <w:pPr>
        <w:pStyle w:val="998"/>
        <w:numPr>
          <w:ilvl w:val="1"/>
          <w:numId w:val="1"/>
        </w:numPr>
        <w:pBdr/>
        <w:tabs>
          <w:tab w:val="left" w:leader="none" w:pos="849"/>
        </w:tabs>
        <w:spacing/>
        <w:ind w:right="1144" w:firstLine="0" w:left="283"/>
        <w:rPr>
          <w:i/>
        </w:rPr>
      </w:pPr>
      <w:r>
        <w:rPr>
          <w:i/>
          <w:color w:val="1f4c78"/>
          <w:spacing w:val="-2"/>
        </w:rPr>
        <w:t xml:space="preserve">Descrizione dell’organizzazione e delle procedure adottate dal beneficiario per l’attuazione dell’operazione</w:t>
      </w:r>
      <w:r>
        <w:rPr>
          <w:i/>
        </w:rPr>
      </w:r>
    </w:p>
    <w:p>
      <w:pPr>
        <w:pStyle w:val="997"/>
        <w:pBdr/>
        <w:spacing/>
        <w:ind/>
        <w:rPr>
          <w:i/>
          <w:sz w:val="20"/>
        </w:rPr>
      </w:pPr>
      <w:r>
        <w:rPr>
          <w:i/>
          <w:sz w:val="20"/>
        </w:rPr>
      </w:r>
      <w:r>
        <w:rPr>
          <w:i/>
          <w:sz w:val="20"/>
        </w:rPr>
      </w:r>
    </w:p>
    <w:p>
      <w:pPr>
        <w:pStyle w:val="997"/>
        <w:pBdr/>
        <w:spacing w:after="1" w:before="113"/>
        <w:ind/>
        <w:rPr>
          <w:i/>
          <w:sz w:val="20"/>
        </w:rPr>
      </w:pPr>
      <w:r>
        <w:rPr>
          <w:i/>
          <w:sz w:val="20"/>
        </w:rPr>
      </w:r>
      <w:r>
        <w:rPr>
          <w:i/>
          <w:sz w:val="20"/>
        </w:rPr>
      </w:r>
    </w:p>
    <w:p>
      <w:pPr>
        <w:pBdr/>
        <w:spacing/>
        <w:ind w:right="-15" w:left="274"/>
        <w:rPr>
          <w:sz w:val="20"/>
        </w:rPr>
      </w:pPr>
      <w:r>
        <w:rPr>
          <w:sz w:val="20"/>
        </w:rPr>
        <mc:AlternateContent>
          <mc:Choice Requires="wpg">
            <w:drawing>
              <wp:inline xmlns:wp="http://schemas.openxmlformats.org/drawingml/2006/wordprocessingDrawing" distT="0" distB="0" distL="0" distR="0">
                <wp:extent cx="6080760" cy="2113915"/>
                <wp:effectExtent l="9525" t="0" r="0" b="635"/>
                <wp:docPr id="16" name="Group 29"/>
                <wp:cNvGraphicFramePr/>
                <a:graphic xmlns:a="http://schemas.openxmlformats.org/drawingml/2006/main">
                  <a:graphicData uri="http://schemas.microsoft.com/office/word/2010/wordprocessingGroup">
                    <wpg:wgp>
                      <wpg:cNvGrpSpPr/>
                      <wpg:grpSpPr bwMode="auto">
                        <a:xfrm>
                          <a:off x="0" y="0"/>
                          <a:ext cx="6080760" cy="2113915"/>
                          <a:chOff x="0" y="0"/>
                          <a:chExt cx="6080760" cy="2113915"/>
                        </a:xfrm>
                      </wpg:grpSpPr>
                      <wps:wsp>
                        <wps:cNvPr id="0" name=""/>
                        <wps:cNvSpPr/>
                        <wps:spPr bwMode="auto">
                          <a:xfrm>
                            <a:off x="0" y="3174"/>
                            <a:ext cx="6080760" cy="2107565"/>
                          </a:xfrm>
                          <a:custGeom>
                            <a:avLst/>
                            <a:gdLst/>
                            <a:ahLst/>
                            <a:cxnLst/>
                            <a:rect l="l" t="t" r="r" b="b"/>
                            <a:pathLst>
                              <a:path w="6080760" h="2107565" fill="norm" stroke="1" extrusionOk="0">
                                <a:moveTo>
                                  <a:pt x="3175" y="0"/>
                                </a:moveTo>
                                <a:lnTo>
                                  <a:pt x="3175" y="2107564"/>
                                </a:lnTo>
                              </a:path>
                              <a:path w="6080760" h="2107565" fill="norm" stroke="1" extrusionOk="0">
                                <a:moveTo>
                                  <a:pt x="6077585" y="0"/>
                                </a:moveTo>
                                <a:lnTo>
                                  <a:pt x="6077585" y="2107564"/>
                                </a:lnTo>
                              </a:path>
                              <a:path w="6080760" h="2107565" fill="norm" stroke="1" extrusionOk="0">
                                <a:moveTo>
                                  <a:pt x="6350" y="0"/>
                                </a:moveTo>
                                <a:lnTo>
                                  <a:pt x="6074409" y="0"/>
                                </a:lnTo>
                              </a:path>
                              <a:path w="6080760" h="2107565" fill="norm" stroke="1" extrusionOk="0">
                                <a:moveTo>
                                  <a:pt x="0" y="2107564"/>
                                </a:moveTo>
                                <a:lnTo>
                                  <a:pt x="6080759" y="2107564"/>
                                </a:lnTo>
                              </a:path>
                            </a:pathLst>
                          </a:custGeom>
                          <a:ln w="6349">
                            <a:solidFill>
                              <a:srgbClr val="000000"/>
                            </a:solidFill>
                            <a:prstDash val="solid"/>
                          </a:ln>
                        </wps:spPr>
                        <wps:bodyPr rot="0">
                          <a:prstTxWarp prst="textNoShape">
                            <a:avLst/>
                          </a:prstTxWarp>
                          <a:noAutofit/>
                        </wps:bodyPr>
                      </wps:wsp>
                    </wpg:wgp>
                  </a:graphicData>
                </a:graphic>
              </wp:inline>
            </w:drawing>
          </mc:Choice>
          <mc:Fallback>
            <w:pict>
              <v:group id="group 23" o:spid="_x0000_s0000" style="width:478.80pt;height:166.45pt;mso-wrap-distance-left:0.00pt;mso-wrap-distance-top:0.00pt;mso-wrap-distance-right:0.00pt;mso-wrap-distance-bottom:0.00pt;" coordorigin="0,0" coordsize="60807,21139">
                <v:shape id="shape 24" o:spid="_x0000_s24" style="position:absolute;left:0;top:31;width:60807;height:21075;visibility:visible;" path="m51,0l51,99998em99947,0l99947,99998em104,0l99894,0em0,99998l99998,99998e" coordsize="100000,100000" filled="f" strokecolor="#000000" strokeweight="0.50pt">
                  <v:path textboxrect="0,0,100000,100000"/>
                  <v:stroke dashstyle="solid"/>
                </v:shape>
              </v:group>
            </w:pict>
          </mc:Fallback>
        </mc:AlternateContent>
      </w:r>
      <w:r>
        <w:rPr>
          <w:sz w:val="20"/>
        </w:rPr>
      </w:r>
    </w:p>
    <w:p>
      <w:pPr>
        <w:pBdr/>
        <w:spacing/>
        <w:ind/>
        <w:rPr>
          <w:sz w:val="20"/>
        </w:rPr>
      </w:pPr>
      <w:r>
        <w:rPr>
          <w:sz w:val="20"/>
        </w:rPr>
      </w:r>
      <w:r>
        <w:rPr>
          <w:sz w:val="20"/>
        </w:rPr>
      </w:r>
    </w:p>
    <w:sectPr>
      <w:footnotePr/>
      <w:endnotePr/>
      <w:type w:val="nextPage"/>
      <w:pgSz w:h="16840" w:orient="portrait" w:w="11910"/>
      <w:pgMar w:top="1720" w:right="992" w:bottom="880" w:left="992" w:header="735" w:footer="682" w:gutter="0"/>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Courier New">
    <w:panose1 w:val="02070309020205020404"/>
  </w:font>
  <w:font w:name="Times New Roman">
    <w:panose1 w:val="02020603050405020304"/>
  </w:font>
  <w:font w:name="Arial MT">
    <w:panose1 w:val="020B0604020202020204"/>
  </w:font>
  <w:font w:name="Cambria">
    <w:panose1 w:val="02040503050406030204"/>
  </w:font>
  <w:font w:name="Symbol">
    <w:panose1 w:val="05050102010706020507"/>
  </w:font>
  <w:font w:name="Arial">
    <w:panose1 w:val="020B0604020202020204"/>
  </w:font>
  <w:font w:name="Calibri">
    <w:panose1 w:val="020F0502020204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7"/>
      <w:pBdr/>
      <w:spacing w:line="14" w:lineRule="auto"/>
      <w:ind/>
      <w:rPr>
        <w:sz w:val="2"/>
      </w:rPr>
    </w:pPr>
    <w:r>
      <w:rPr>
        <w:sz w:val="2"/>
      </w:rPr>
    </w:r>
    <w:r>
      <w:rPr>
        <w:sz w:val="2"/>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7"/>
      <w:pBdr/>
      <w:spacing w:line="14" w:lineRule="auto"/>
      <w:ind/>
      <w:rPr>
        <w:sz w:val="20"/>
      </w:rPr>
    </w:pPr>
    <w:r>
      <w:rPr>
        <w:sz w:val="20"/>
      </w:rPr>
      <mc:AlternateContent>
        <mc:Choice Requires="wpg">
          <w:drawing>
            <wp:anchor xmlns:wp="http://schemas.openxmlformats.org/drawingml/2006/wordprocessingDrawing" xmlns:wp14="http://schemas.microsoft.com/office/word/2010/wordprocessingDrawing" distT="0" distB="0" distL="0" distR="0" simplePos="0" relativeHeight="251655680" behindDoc="1" locked="0" layoutInCell="1" allowOverlap="1">
              <wp:simplePos x="0" y="0"/>
              <wp:positionH relativeFrom="page">
                <wp:posOffset>769619</wp:posOffset>
              </wp:positionH>
              <wp:positionV relativeFrom="page">
                <wp:posOffset>466725</wp:posOffset>
              </wp:positionV>
              <wp:extent cx="6133464" cy="448309"/>
              <wp:effectExtent l="0" t="0" r="0" b="0"/>
              <wp:wrapNone/>
              <wp:docPr id="1" name="Image 2"/>
              <wp:cNvGraphicFramePr/>
              <a:graphic xmlns:a="http://schemas.openxmlformats.org/drawingml/2006/main">
                <a:graphicData uri="http://schemas.openxmlformats.org/drawingml/2006/picture">
                  <pic:pic xmlns:pic="http://schemas.openxmlformats.org/drawingml/2006/picture">
                    <pic:nvPicPr>
                      <pic:cNvPr id="1" name="Image 2"/>
                      <pic:cNvPicPr/>
                      <pic:nvPr/>
                    </pic:nvPicPr>
                    <pic:blipFill>
                      <a:blip r:embed="rId1"/>
                      <a:stretch/>
                    </pic:blipFill>
                    <pic:spPr bwMode="auto">
                      <a:xfrm>
                        <a:off x="0" y="0"/>
                        <a:ext cx="6133464" cy="448308"/>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5680;o:allowoverlap:true;o:allowincell:true;mso-position-horizontal-relative:page;margin-left:60.60pt;mso-position-horizontal:absolute;mso-position-vertical-relative:page;margin-top:36.75pt;mso-position-vertical:absolute;width:482.95pt;height:35.30pt;mso-wrap-distance-left:0.00pt;mso-wrap-distance-top:0.00pt;mso-wrap-distance-right:0.00pt;mso-wrap-distance-bottom:0.00pt;z-index:1;" stroked="false">
              <v:imagedata r:id="rId1" o:title=""/>
              <o:lock v:ext="edit" rotation="t"/>
            </v:shape>
          </w:pict>
        </mc:Fallback>
      </mc:AlternateContent>
    </w:r>
    <w:r>
      <w:rPr>
        <w:sz w:val="20"/>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7"/>
      <w:pBdr/>
      <w:spacing w:line="14" w:lineRule="auto"/>
      <w:ind/>
      <w:rPr>
        <w:sz w:val="20"/>
      </w:rPr>
    </w:pPr>
    <w:r>
      <w:rPr>
        <w:sz w:val="20"/>
      </w:rPr>
      <mc:AlternateContent>
        <mc:Choice Requires="wpg">
          <w:drawing>
            <wp:anchor xmlns:wp="http://schemas.openxmlformats.org/drawingml/2006/wordprocessingDrawing" xmlns:wp14="http://schemas.microsoft.com/office/word/2010/wordprocessingDrawing" distT="0" distB="0" distL="0" distR="0" simplePos="0" relativeHeight="251654656" behindDoc="1" locked="0" layoutInCell="1" allowOverlap="1">
              <wp:simplePos x="0" y="0"/>
              <wp:positionH relativeFrom="page">
                <wp:posOffset>734059</wp:posOffset>
              </wp:positionH>
              <wp:positionV relativeFrom="page">
                <wp:posOffset>278765</wp:posOffset>
              </wp:positionV>
              <wp:extent cx="6230619" cy="460374"/>
              <wp:effectExtent l="0" t="0" r="0" b="0"/>
              <wp:wrapNone/>
              <wp:docPr id="2" name="Image 1"/>
              <wp:cNvGraphicFramePr/>
              <a:graphic xmlns:a="http://schemas.openxmlformats.org/drawingml/2006/main">
                <a:graphicData uri="http://schemas.openxmlformats.org/drawingml/2006/picture">
                  <pic:pic xmlns:pic="http://schemas.openxmlformats.org/drawingml/2006/picture">
                    <pic:nvPicPr>
                      <pic:cNvPr id="2" name="Image 1"/>
                      <pic:cNvPicPr/>
                      <pic:nvPr/>
                    </pic:nvPicPr>
                    <pic:blipFill>
                      <a:blip r:embed="rId1"/>
                      <a:stretch/>
                    </pic:blipFill>
                    <pic:spPr bwMode="auto">
                      <a:xfrm>
                        <a:off x="0" y="0"/>
                        <a:ext cx="6230619" cy="460374"/>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4656;o:allowoverlap:true;o:allowincell:true;mso-position-horizontal-relative:page;margin-left:57.80pt;mso-position-horizontal:absolute;mso-position-vertical-relative:page;margin-top:21.95pt;mso-position-vertical:absolute;width:490.60pt;height:36.25pt;mso-wrap-distance-left:0.00pt;mso-wrap-distance-top:0.00pt;mso-wrap-distance-right:0.00pt;mso-wrap-distance-bottom:0.00pt;z-index:1;" stroked="false">
              <v:imagedata r:id="rId1" o:title=""/>
              <o:lock v:ext="edit" rotation="t"/>
            </v:shape>
          </w:pict>
        </mc:Fallback>
      </mc:AlternateContent>
    </w:r>
    <w:r>
      <w:rPr>
        <w:sz w:val="20"/>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decimal"/>
      <w:pPr>
        <w:pBdr/>
        <w:spacing/>
        <w:ind w:hanging="360" w:left="862"/>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360" w:left="862"/>
      </w:pPr>
      <w:rPr>
        <w:rFonts w:hint="default" w:ascii="Symbol" w:hAnsi="Symbol" w:eastAsia="Symbol" w:cs="Symbol"/>
        <w:b w:val="0"/>
        <w:bCs w:val="0"/>
        <w:i w:val="0"/>
        <w:iCs w:val="0"/>
        <w:spacing w:val="0"/>
        <w:sz w:val="22"/>
        <w:szCs w:val="22"/>
        <w:lang w:val="it-IT" w:eastAsia="en-US" w:bidi="ar-SA"/>
      </w:rPr>
      <w:start w:val="0"/>
      <w:suff w:val="tab"/>
    </w:lvl>
    <w:lvl w:ilvl="2">
      <w:isLgl w:val="false"/>
      <w:lvlJc w:val="left"/>
      <w:lvlText w:val="•"/>
      <w:numFmt w:val="bullet"/>
      <w:pPr>
        <w:pBdr/>
        <w:spacing/>
        <w:ind w:hanging="360" w:left="2672"/>
      </w:pPr>
      <w:rPr>
        <w:rFonts w:hint="default"/>
        <w:lang w:val="it-IT" w:eastAsia="en-US" w:bidi="ar-SA"/>
      </w:rPr>
      <w:start w:val="0"/>
      <w:suff w:val="tab"/>
    </w:lvl>
    <w:lvl w:ilvl="3">
      <w:isLgl w:val="false"/>
      <w:lvlJc w:val="left"/>
      <w:lvlText w:val="•"/>
      <w:numFmt w:val="bullet"/>
      <w:pPr>
        <w:pBdr/>
        <w:spacing/>
        <w:ind w:hanging="360" w:left="3578"/>
      </w:pPr>
      <w:rPr>
        <w:rFonts w:hint="default"/>
        <w:lang w:val="it-IT" w:eastAsia="en-US" w:bidi="ar-SA"/>
      </w:rPr>
      <w:start w:val="0"/>
      <w:suff w:val="tab"/>
    </w:lvl>
    <w:lvl w:ilvl="4">
      <w:isLgl w:val="false"/>
      <w:lvlJc w:val="left"/>
      <w:lvlText w:val="•"/>
      <w:numFmt w:val="bullet"/>
      <w:pPr>
        <w:pBdr/>
        <w:spacing/>
        <w:ind w:hanging="360" w:left="4484"/>
      </w:pPr>
      <w:rPr>
        <w:rFonts w:hint="default"/>
        <w:lang w:val="it-IT" w:eastAsia="en-US" w:bidi="ar-SA"/>
      </w:rPr>
      <w:start w:val="0"/>
      <w:suff w:val="tab"/>
    </w:lvl>
    <w:lvl w:ilvl="5">
      <w:isLgl w:val="false"/>
      <w:lvlJc w:val="left"/>
      <w:lvlText w:val="•"/>
      <w:numFmt w:val="bullet"/>
      <w:pPr>
        <w:pBdr/>
        <w:spacing/>
        <w:ind w:hanging="360" w:left="5391"/>
      </w:pPr>
      <w:rPr>
        <w:rFonts w:hint="default"/>
        <w:lang w:val="it-IT" w:eastAsia="en-US" w:bidi="ar-SA"/>
      </w:rPr>
      <w:start w:val="0"/>
      <w:suff w:val="tab"/>
    </w:lvl>
    <w:lvl w:ilvl="6">
      <w:isLgl w:val="false"/>
      <w:lvlJc w:val="left"/>
      <w:lvlText w:val="•"/>
      <w:numFmt w:val="bullet"/>
      <w:pPr>
        <w:pBdr/>
        <w:spacing/>
        <w:ind w:hanging="360" w:left="6297"/>
      </w:pPr>
      <w:rPr>
        <w:rFonts w:hint="default"/>
        <w:lang w:val="it-IT" w:eastAsia="en-US" w:bidi="ar-SA"/>
      </w:rPr>
      <w:start w:val="0"/>
      <w:suff w:val="tab"/>
    </w:lvl>
    <w:lvl w:ilvl="7">
      <w:isLgl w:val="false"/>
      <w:lvlJc w:val="left"/>
      <w:lvlText w:val="•"/>
      <w:numFmt w:val="bullet"/>
      <w:pPr>
        <w:pBdr/>
        <w:spacing/>
        <w:ind w:hanging="360" w:left="7203"/>
      </w:pPr>
      <w:rPr>
        <w:rFonts w:hint="default"/>
        <w:lang w:val="it-IT" w:eastAsia="en-US" w:bidi="ar-SA"/>
      </w:rPr>
      <w:start w:val="0"/>
      <w:suff w:val="tab"/>
    </w:lvl>
    <w:lvl w:ilvl="8">
      <w:isLgl w:val="false"/>
      <w:lvlJc w:val="left"/>
      <w:lvlText w:val="•"/>
      <w:numFmt w:val="bullet"/>
      <w:pPr>
        <w:pBdr/>
        <w:spacing/>
        <w:ind w:hanging="360" w:left="8109"/>
      </w:pPr>
      <w:rPr>
        <w:rFonts w:hint="default"/>
        <w:lang w:val="it-IT" w:eastAsia="en-US" w:bidi="ar-SA"/>
      </w:rPr>
      <w:start w:val="0"/>
      <w:suff w:val="tab"/>
    </w:lvl>
  </w:abstractNum>
  <w:abstractNum w:abstractNumId="1">
    <w:lvl w:ilvl="0">
      <w:isLgl w:val="false"/>
      <w:lvlJc w:val="left"/>
      <w:lvlText w:val="%1"/>
      <w:numFmt w:val="decimal"/>
      <w:pPr>
        <w:pBdr/>
        <w:spacing/>
        <w:ind w:hanging="567" w:left="850"/>
      </w:pPr>
      <w:rPr>
        <w:rFonts w:hint="default"/>
        <w:lang w:val="it-IT" w:eastAsia="en-US" w:bidi="ar-SA"/>
      </w:rPr>
      <w:start w:val="5"/>
      <w:suff w:val="tab"/>
    </w:lvl>
    <w:lvl w:ilvl="1">
      <w:isLgl w:val="false"/>
      <w:lvlJc w:val="left"/>
      <w:lvlText w:val="%1.%2"/>
      <w:numFmt w:val="upperLetter"/>
      <w:pPr>
        <w:pBdr/>
        <w:spacing/>
        <w:ind w:hanging="567" w:left="850"/>
      </w:pPr>
      <w:rPr>
        <w:rFonts w:hint="default"/>
        <w:lang w:val="it-IT" w:eastAsia="en-US" w:bidi="ar-SA"/>
      </w:rPr>
      <w:start w:val="1"/>
      <w:suff w:val="tab"/>
    </w:lvl>
    <w:lvl w:ilvl="2">
      <w:isLgl w:val="false"/>
      <w:lvlJc w:val="left"/>
      <w:lvlText w:val="%1.%2.%3."/>
      <w:numFmt w:val="decimal"/>
      <w:pPr>
        <w:pBdr/>
        <w:spacing/>
        <w:ind w:hanging="567" w:left="850"/>
      </w:pPr>
      <w:rPr>
        <w:rFonts w:hint="default" w:ascii="Calibri" w:hAnsi="Calibri" w:eastAsia="Calibri" w:cs="Calibri"/>
        <w:b w:val="0"/>
        <w:bCs w:val="0"/>
        <w:i/>
        <w:iCs/>
        <w:color w:val="1f4d79"/>
        <w:spacing w:val="-1"/>
        <w:sz w:val="22"/>
        <w:szCs w:val="22"/>
        <w:lang w:val="it-IT" w:eastAsia="en-US" w:bidi="ar-SA"/>
      </w:rPr>
      <w:start w:val="1"/>
      <w:suff w:val="tab"/>
    </w:lvl>
    <w:lvl w:ilvl="3">
      <w:isLgl w:val="false"/>
      <w:lvlJc w:val="left"/>
      <w:lvlText w:val="•"/>
      <w:numFmt w:val="bullet"/>
      <w:pPr>
        <w:pBdr/>
        <w:spacing/>
        <w:ind w:hanging="567" w:left="3578"/>
      </w:pPr>
      <w:rPr>
        <w:rFonts w:hint="default"/>
        <w:lang w:val="it-IT" w:eastAsia="en-US" w:bidi="ar-SA"/>
      </w:rPr>
      <w:start w:val="0"/>
      <w:suff w:val="tab"/>
    </w:lvl>
    <w:lvl w:ilvl="4">
      <w:isLgl w:val="false"/>
      <w:lvlJc w:val="left"/>
      <w:lvlText w:val="•"/>
      <w:numFmt w:val="bullet"/>
      <w:pPr>
        <w:pBdr/>
        <w:spacing/>
        <w:ind w:hanging="567" w:left="4484"/>
      </w:pPr>
      <w:rPr>
        <w:rFonts w:hint="default"/>
        <w:lang w:val="it-IT" w:eastAsia="en-US" w:bidi="ar-SA"/>
      </w:rPr>
      <w:start w:val="0"/>
      <w:suff w:val="tab"/>
    </w:lvl>
    <w:lvl w:ilvl="5">
      <w:isLgl w:val="false"/>
      <w:lvlJc w:val="left"/>
      <w:lvlText w:val="•"/>
      <w:numFmt w:val="bullet"/>
      <w:pPr>
        <w:pBdr/>
        <w:spacing/>
        <w:ind w:hanging="567" w:left="5391"/>
      </w:pPr>
      <w:rPr>
        <w:rFonts w:hint="default"/>
        <w:lang w:val="it-IT" w:eastAsia="en-US" w:bidi="ar-SA"/>
      </w:rPr>
      <w:start w:val="0"/>
      <w:suff w:val="tab"/>
    </w:lvl>
    <w:lvl w:ilvl="6">
      <w:isLgl w:val="false"/>
      <w:lvlJc w:val="left"/>
      <w:lvlText w:val="•"/>
      <w:numFmt w:val="bullet"/>
      <w:pPr>
        <w:pBdr/>
        <w:spacing/>
        <w:ind w:hanging="567" w:left="6297"/>
      </w:pPr>
      <w:rPr>
        <w:rFonts w:hint="default"/>
        <w:lang w:val="it-IT" w:eastAsia="en-US" w:bidi="ar-SA"/>
      </w:rPr>
      <w:start w:val="0"/>
      <w:suff w:val="tab"/>
    </w:lvl>
    <w:lvl w:ilvl="7">
      <w:isLgl w:val="false"/>
      <w:lvlJc w:val="left"/>
      <w:lvlText w:val="•"/>
      <w:numFmt w:val="bullet"/>
      <w:pPr>
        <w:pBdr/>
        <w:spacing/>
        <w:ind w:hanging="567" w:left="7203"/>
      </w:pPr>
      <w:rPr>
        <w:rFonts w:hint="default"/>
        <w:lang w:val="it-IT" w:eastAsia="en-US" w:bidi="ar-SA"/>
      </w:rPr>
      <w:start w:val="0"/>
      <w:suff w:val="tab"/>
    </w:lvl>
    <w:lvl w:ilvl="8">
      <w:isLgl w:val="false"/>
      <w:lvlJc w:val="left"/>
      <w:lvlText w:val="•"/>
      <w:numFmt w:val="bullet"/>
      <w:pPr>
        <w:pBdr/>
        <w:spacing/>
        <w:ind w:hanging="567" w:left="8109"/>
      </w:pPr>
      <w:rPr>
        <w:rFonts w:hint="default"/>
        <w:lang w:val="it-IT" w:eastAsia="en-US" w:bidi="ar-SA"/>
      </w:rPr>
      <w:start w:val="0"/>
      <w:suff w:val="tab"/>
    </w:lvl>
  </w:abstractNum>
  <w:abstractNum w:abstractNumId="2">
    <w:lvl w:ilvl="0">
      <w:isLgl w:val="false"/>
      <w:lvlJc w:val="left"/>
      <w:lvlText w:val="%1."/>
      <w:numFmt w:val="decimal"/>
      <w:pPr>
        <w:pBdr/>
        <w:spacing/>
        <w:ind w:hanging="708" w:left="142"/>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708" w:left="1118"/>
      </w:pPr>
      <w:rPr>
        <w:rFonts w:hint="default"/>
        <w:lang w:val="it-IT" w:eastAsia="en-US" w:bidi="ar-SA"/>
      </w:rPr>
      <w:start w:val="0"/>
      <w:suff w:val="tab"/>
    </w:lvl>
    <w:lvl w:ilvl="2">
      <w:isLgl w:val="false"/>
      <w:lvlJc w:val="left"/>
      <w:lvlText w:val="•"/>
      <w:numFmt w:val="bullet"/>
      <w:pPr>
        <w:pBdr/>
        <w:spacing/>
        <w:ind w:hanging="708" w:left="2096"/>
      </w:pPr>
      <w:rPr>
        <w:rFonts w:hint="default"/>
        <w:lang w:val="it-IT" w:eastAsia="en-US" w:bidi="ar-SA"/>
      </w:rPr>
      <w:start w:val="0"/>
      <w:suff w:val="tab"/>
    </w:lvl>
    <w:lvl w:ilvl="3">
      <w:isLgl w:val="false"/>
      <w:lvlJc w:val="left"/>
      <w:lvlText w:val="•"/>
      <w:numFmt w:val="bullet"/>
      <w:pPr>
        <w:pBdr/>
        <w:spacing/>
        <w:ind w:hanging="708" w:left="3074"/>
      </w:pPr>
      <w:rPr>
        <w:rFonts w:hint="default"/>
        <w:lang w:val="it-IT" w:eastAsia="en-US" w:bidi="ar-SA"/>
      </w:rPr>
      <w:start w:val="0"/>
      <w:suff w:val="tab"/>
    </w:lvl>
    <w:lvl w:ilvl="4">
      <w:isLgl w:val="false"/>
      <w:lvlJc w:val="left"/>
      <w:lvlText w:val="•"/>
      <w:numFmt w:val="bullet"/>
      <w:pPr>
        <w:pBdr/>
        <w:spacing/>
        <w:ind w:hanging="708" w:left="4052"/>
      </w:pPr>
      <w:rPr>
        <w:rFonts w:hint="default"/>
        <w:lang w:val="it-IT" w:eastAsia="en-US" w:bidi="ar-SA"/>
      </w:rPr>
      <w:start w:val="0"/>
      <w:suff w:val="tab"/>
    </w:lvl>
    <w:lvl w:ilvl="5">
      <w:isLgl w:val="false"/>
      <w:lvlJc w:val="left"/>
      <w:lvlText w:val="•"/>
      <w:numFmt w:val="bullet"/>
      <w:pPr>
        <w:pBdr/>
        <w:spacing/>
        <w:ind w:hanging="708" w:left="5031"/>
      </w:pPr>
      <w:rPr>
        <w:rFonts w:hint="default"/>
        <w:lang w:val="it-IT" w:eastAsia="en-US" w:bidi="ar-SA"/>
      </w:rPr>
      <w:start w:val="0"/>
      <w:suff w:val="tab"/>
    </w:lvl>
    <w:lvl w:ilvl="6">
      <w:isLgl w:val="false"/>
      <w:lvlJc w:val="left"/>
      <w:lvlText w:val="•"/>
      <w:numFmt w:val="bullet"/>
      <w:pPr>
        <w:pBdr/>
        <w:spacing/>
        <w:ind w:hanging="708" w:left="6009"/>
      </w:pPr>
      <w:rPr>
        <w:rFonts w:hint="default"/>
        <w:lang w:val="it-IT" w:eastAsia="en-US" w:bidi="ar-SA"/>
      </w:rPr>
      <w:start w:val="0"/>
      <w:suff w:val="tab"/>
    </w:lvl>
    <w:lvl w:ilvl="7">
      <w:isLgl w:val="false"/>
      <w:lvlJc w:val="left"/>
      <w:lvlText w:val="•"/>
      <w:numFmt w:val="bullet"/>
      <w:pPr>
        <w:pBdr/>
        <w:spacing/>
        <w:ind w:hanging="708" w:left="6987"/>
      </w:pPr>
      <w:rPr>
        <w:rFonts w:hint="default"/>
        <w:lang w:val="it-IT" w:eastAsia="en-US" w:bidi="ar-SA"/>
      </w:rPr>
      <w:start w:val="0"/>
      <w:suff w:val="tab"/>
    </w:lvl>
    <w:lvl w:ilvl="8">
      <w:isLgl w:val="false"/>
      <w:lvlJc w:val="left"/>
      <w:lvlText w:val="•"/>
      <w:numFmt w:val="bullet"/>
      <w:pPr>
        <w:pBdr/>
        <w:spacing/>
        <w:ind w:hanging="708" w:left="7965"/>
      </w:pPr>
      <w:rPr>
        <w:rFonts w:hint="default"/>
        <w:lang w:val="it-IT" w:eastAsia="en-US" w:bidi="ar-SA"/>
      </w:rPr>
      <w:start w:val="0"/>
      <w:suff w:val="tab"/>
    </w:lvl>
  </w:abstractNum>
  <w:abstractNum w:abstractNumId="3">
    <w:lvl w:ilvl="0">
      <w:isLgl w:val="false"/>
      <w:lvlJc w:val="left"/>
      <w:lvlText w:val="%1."/>
      <w:numFmt w:val="decimal"/>
      <w:pPr>
        <w:pBdr/>
        <w:spacing/>
        <w:ind w:hanging="708" w:left="142"/>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708" w:left="1118"/>
      </w:pPr>
      <w:rPr>
        <w:rFonts w:hint="default"/>
        <w:lang w:val="it-IT" w:eastAsia="en-US" w:bidi="ar-SA"/>
      </w:rPr>
      <w:start w:val="0"/>
      <w:suff w:val="tab"/>
    </w:lvl>
    <w:lvl w:ilvl="2">
      <w:isLgl w:val="false"/>
      <w:lvlJc w:val="left"/>
      <w:lvlText w:val="•"/>
      <w:numFmt w:val="bullet"/>
      <w:pPr>
        <w:pBdr/>
        <w:spacing/>
        <w:ind w:hanging="708" w:left="2096"/>
      </w:pPr>
      <w:rPr>
        <w:rFonts w:hint="default"/>
        <w:lang w:val="it-IT" w:eastAsia="en-US" w:bidi="ar-SA"/>
      </w:rPr>
      <w:start w:val="0"/>
      <w:suff w:val="tab"/>
    </w:lvl>
    <w:lvl w:ilvl="3">
      <w:isLgl w:val="false"/>
      <w:lvlJc w:val="left"/>
      <w:lvlText w:val="•"/>
      <w:numFmt w:val="bullet"/>
      <w:pPr>
        <w:pBdr/>
        <w:spacing/>
        <w:ind w:hanging="708" w:left="3074"/>
      </w:pPr>
      <w:rPr>
        <w:rFonts w:hint="default"/>
        <w:lang w:val="it-IT" w:eastAsia="en-US" w:bidi="ar-SA"/>
      </w:rPr>
      <w:start w:val="0"/>
      <w:suff w:val="tab"/>
    </w:lvl>
    <w:lvl w:ilvl="4">
      <w:isLgl w:val="false"/>
      <w:lvlJc w:val="left"/>
      <w:lvlText w:val="•"/>
      <w:numFmt w:val="bullet"/>
      <w:pPr>
        <w:pBdr/>
        <w:spacing/>
        <w:ind w:hanging="708" w:left="4052"/>
      </w:pPr>
      <w:rPr>
        <w:rFonts w:hint="default"/>
        <w:lang w:val="it-IT" w:eastAsia="en-US" w:bidi="ar-SA"/>
      </w:rPr>
      <w:start w:val="0"/>
      <w:suff w:val="tab"/>
    </w:lvl>
    <w:lvl w:ilvl="5">
      <w:isLgl w:val="false"/>
      <w:lvlJc w:val="left"/>
      <w:lvlText w:val="•"/>
      <w:numFmt w:val="bullet"/>
      <w:pPr>
        <w:pBdr/>
        <w:spacing/>
        <w:ind w:hanging="708" w:left="5031"/>
      </w:pPr>
      <w:rPr>
        <w:rFonts w:hint="default"/>
        <w:lang w:val="it-IT" w:eastAsia="en-US" w:bidi="ar-SA"/>
      </w:rPr>
      <w:start w:val="0"/>
      <w:suff w:val="tab"/>
    </w:lvl>
    <w:lvl w:ilvl="6">
      <w:isLgl w:val="false"/>
      <w:lvlJc w:val="left"/>
      <w:lvlText w:val="•"/>
      <w:numFmt w:val="bullet"/>
      <w:pPr>
        <w:pBdr/>
        <w:spacing/>
        <w:ind w:hanging="708" w:left="6009"/>
      </w:pPr>
      <w:rPr>
        <w:rFonts w:hint="default"/>
        <w:lang w:val="it-IT" w:eastAsia="en-US" w:bidi="ar-SA"/>
      </w:rPr>
      <w:start w:val="0"/>
      <w:suff w:val="tab"/>
    </w:lvl>
    <w:lvl w:ilvl="7">
      <w:isLgl w:val="false"/>
      <w:lvlJc w:val="left"/>
      <w:lvlText w:val="•"/>
      <w:numFmt w:val="bullet"/>
      <w:pPr>
        <w:pBdr/>
        <w:spacing/>
        <w:ind w:hanging="708" w:left="6987"/>
      </w:pPr>
      <w:rPr>
        <w:rFonts w:hint="default"/>
        <w:lang w:val="it-IT" w:eastAsia="en-US" w:bidi="ar-SA"/>
      </w:rPr>
      <w:start w:val="0"/>
      <w:suff w:val="tab"/>
    </w:lvl>
    <w:lvl w:ilvl="8">
      <w:isLgl w:val="false"/>
      <w:lvlJc w:val="left"/>
      <w:lvlText w:val="•"/>
      <w:numFmt w:val="bullet"/>
      <w:pPr>
        <w:pBdr/>
        <w:spacing/>
        <w:ind w:hanging="708" w:left="7965"/>
      </w:pPr>
      <w:rPr>
        <w:rFonts w:hint="default"/>
        <w:lang w:val="it-IT" w:eastAsia="en-US" w:bidi="ar-SA"/>
      </w:rPr>
      <w:start w:val="0"/>
      <w:suff w:val="tab"/>
    </w:lvl>
  </w:abstractNum>
  <w:abstractNum w:abstractNumId="4">
    <w:lvl w:ilvl="0">
      <w:isLgl w:val="false"/>
      <w:lvlJc w:val="left"/>
      <w:lvlText w:val="%1."/>
      <w:numFmt w:val="decimal"/>
      <w:pPr>
        <w:pBdr/>
        <w:spacing/>
        <w:ind w:hanging="708" w:left="142"/>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708" w:left="1118"/>
      </w:pPr>
      <w:rPr>
        <w:rFonts w:hint="default"/>
        <w:lang w:val="it-IT" w:eastAsia="en-US" w:bidi="ar-SA"/>
      </w:rPr>
      <w:start w:val="0"/>
      <w:suff w:val="tab"/>
    </w:lvl>
    <w:lvl w:ilvl="2">
      <w:isLgl w:val="false"/>
      <w:lvlJc w:val="left"/>
      <w:lvlText w:val="•"/>
      <w:numFmt w:val="bullet"/>
      <w:pPr>
        <w:pBdr/>
        <w:spacing/>
        <w:ind w:hanging="708" w:left="2096"/>
      </w:pPr>
      <w:rPr>
        <w:rFonts w:hint="default"/>
        <w:lang w:val="it-IT" w:eastAsia="en-US" w:bidi="ar-SA"/>
      </w:rPr>
      <w:start w:val="0"/>
      <w:suff w:val="tab"/>
    </w:lvl>
    <w:lvl w:ilvl="3">
      <w:isLgl w:val="false"/>
      <w:lvlJc w:val="left"/>
      <w:lvlText w:val="•"/>
      <w:numFmt w:val="bullet"/>
      <w:pPr>
        <w:pBdr/>
        <w:spacing/>
        <w:ind w:hanging="708" w:left="3074"/>
      </w:pPr>
      <w:rPr>
        <w:rFonts w:hint="default"/>
        <w:lang w:val="it-IT" w:eastAsia="en-US" w:bidi="ar-SA"/>
      </w:rPr>
      <w:start w:val="0"/>
      <w:suff w:val="tab"/>
    </w:lvl>
    <w:lvl w:ilvl="4">
      <w:isLgl w:val="false"/>
      <w:lvlJc w:val="left"/>
      <w:lvlText w:val="•"/>
      <w:numFmt w:val="bullet"/>
      <w:pPr>
        <w:pBdr/>
        <w:spacing/>
        <w:ind w:hanging="708" w:left="4052"/>
      </w:pPr>
      <w:rPr>
        <w:rFonts w:hint="default"/>
        <w:lang w:val="it-IT" w:eastAsia="en-US" w:bidi="ar-SA"/>
      </w:rPr>
      <w:start w:val="0"/>
      <w:suff w:val="tab"/>
    </w:lvl>
    <w:lvl w:ilvl="5">
      <w:isLgl w:val="false"/>
      <w:lvlJc w:val="left"/>
      <w:lvlText w:val="•"/>
      <w:numFmt w:val="bullet"/>
      <w:pPr>
        <w:pBdr/>
        <w:spacing/>
        <w:ind w:hanging="708" w:left="5031"/>
      </w:pPr>
      <w:rPr>
        <w:rFonts w:hint="default"/>
        <w:lang w:val="it-IT" w:eastAsia="en-US" w:bidi="ar-SA"/>
      </w:rPr>
      <w:start w:val="0"/>
      <w:suff w:val="tab"/>
    </w:lvl>
    <w:lvl w:ilvl="6">
      <w:isLgl w:val="false"/>
      <w:lvlJc w:val="left"/>
      <w:lvlText w:val="•"/>
      <w:numFmt w:val="bullet"/>
      <w:pPr>
        <w:pBdr/>
        <w:spacing/>
        <w:ind w:hanging="708" w:left="6009"/>
      </w:pPr>
      <w:rPr>
        <w:rFonts w:hint="default"/>
        <w:lang w:val="it-IT" w:eastAsia="en-US" w:bidi="ar-SA"/>
      </w:rPr>
      <w:start w:val="0"/>
      <w:suff w:val="tab"/>
    </w:lvl>
    <w:lvl w:ilvl="7">
      <w:isLgl w:val="false"/>
      <w:lvlJc w:val="left"/>
      <w:lvlText w:val="•"/>
      <w:numFmt w:val="bullet"/>
      <w:pPr>
        <w:pBdr/>
        <w:spacing/>
        <w:ind w:hanging="708" w:left="6987"/>
      </w:pPr>
      <w:rPr>
        <w:rFonts w:hint="default"/>
        <w:lang w:val="it-IT" w:eastAsia="en-US" w:bidi="ar-SA"/>
      </w:rPr>
      <w:start w:val="0"/>
      <w:suff w:val="tab"/>
    </w:lvl>
    <w:lvl w:ilvl="8">
      <w:isLgl w:val="false"/>
      <w:lvlJc w:val="left"/>
      <w:lvlText w:val="•"/>
      <w:numFmt w:val="bullet"/>
      <w:pPr>
        <w:pBdr/>
        <w:spacing/>
        <w:ind w:hanging="708" w:left="7965"/>
      </w:pPr>
      <w:rPr>
        <w:rFonts w:hint="default"/>
        <w:lang w:val="it-IT" w:eastAsia="en-US" w:bidi="ar-SA"/>
      </w:rPr>
      <w:start w:val="0"/>
      <w:suff w:val="tab"/>
    </w:lvl>
  </w:abstractNum>
  <w:abstractNum w:abstractNumId="5">
    <w:lvl w:ilvl="0">
      <w:isLgl w:val="false"/>
      <w:lvlJc w:val="left"/>
      <w:lvlText w:val="%1."/>
      <w:numFmt w:val="decimal"/>
      <w:pPr>
        <w:pBdr/>
        <w:spacing/>
        <w:ind w:hanging="708" w:left="142"/>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2."/>
      <w:numFmt w:val="decimal"/>
      <w:pPr>
        <w:pBdr/>
        <w:spacing/>
        <w:ind w:hanging="215" w:left="498"/>
      </w:pPr>
      <w:rPr>
        <w:rFonts w:hint="default" w:ascii="Calibri" w:hAnsi="Calibri" w:eastAsia="Calibri" w:cs="Calibri"/>
        <w:b w:val="0"/>
        <w:bCs w:val="0"/>
        <w:i/>
        <w:iCs/>
        <w:color w:val="1f4c78"/>
        <w:spacing w:val="-1"/>
        <w:sz w:val="22"/>
        <w:szCs w:val="22"/>
        <w:lang w:val="it-IT" w:eastAsia="en-US" w:bidi="ar-SA"/>
      </w:rPr>
      <w:start w:val="1"/>
      <w:suff w:val="tab"/>
    </w:lvl>
    <w:lvl w:ilvl="2">
      <w:isLgl w:val="false"/>
      <w:lvlJc w:val="left"/>
      <w:lvlText w:val="•"/>
      <w:numFmt w:val="bullet"/>
      <w:pPr>
        <w:pBdr/>
        <w:spacing/>
        <w:ind w:hanging="215" w:left="1546"/>
      </w:pPr>
      <w:rPr>
        <w:rFonts w:hint="default"/>
        <w:lang w:val="it-IT" w:eastAsia="en-US" w:bidi="ar-SA"/>
      </w:rPr>
      <w:start w:val="0"/>
      <w:suff w:val="tab"/>
    </w:lvl>
    <w:lvl w:ilvl="3">
      <w:isLgl w:val="false"/>
      <w:lvlJc w:val="left"/>
      <w:lvlText w:val="•"/>
      <w:numFmt w:val="bullet"/>
      <w:pPr>
        <w:pBdr/>
        <w:spacing/>
        <w:ind w:hanging="215" w:left="2593"/>
      </w:pPr>
      <w:rPr>
        <w:rFonts w:hint="default"/>
        <w:lang w:val="it-IT" w:eastAsia="en-US" w:bidi="ar-SA"/>
      </w:rPr>
      <w:start w:val="0"/>
      <w:suff w:val="tab"/>
    </w:lvl>
    <w:lvl w:ilvl="4">
      <w:isLgl w:val="false"/>
      <w:lvlJc w:val="left"/>
      <w:lvlText w:val="•"/>
      <w:numFmt w:val="bullet"/>
      <w:pPr>
        <w:pBdr/>
        <w:spacing/>
        <w:ind w:hanging="215" w:left="3640"/>
      </w:pPr>
      <w:rPr>
        <w:rFonts w:hint="default"/>
        <w:lang w:val="it-IT" w:eastAsia="en-US" w:bidi="ar-SA"/>
      </w:rPr>
      <w:start w:val="0"/>
      <w:suff w:val="tab"/>
    </w:lvl>
    <w:lvl w:ilvl="5">
      <w:isLgl w:val="false"/>
      <w:lvlJc w:val="left"/>
      <w:lvlText w:val="•"/>
      <w:numFmt w:val="bullet"/>
      <w:pPr>
        <w:pBdr/>
        <w:spacing/>
        <w:ind w:hanging="215" w:left="4687"/>
      </w:pPr>
      <w:rPr>
        <w:rFonts w:hint="default"/>
        <w:lang w:val="it-IT" w:eastAsia="en-US" w:bidi="ar-SA"/>
      </w:rPr>
      <w:start w:val="0"/>
      <w:suff w:val="tab"/>
    </w:lvl>
    <w:lvl w:ilvl="6">
      <w:isLgl w:val="false"/>
      <w:lvlJc w:val="left"/>
      <w:lvlText w:val="•"/>
      <w:numFmt w:val="bullet"/>
      <w:pPr>
        <w:pBdr/>
        <w:spacing/>
        <w:ind w:hanging="215" w:left="5734"/>
      </w:pPr>
      <w:rPr>
        <w:rFonts w:hint="default"/>
        <w:lang w:val="it-IT" w:eastAsia="en-US" w:bidi="ar-SA"/>
      </w:rPr>
      <w:start w:val="0"/>
      <w:suff w:val="tab"/>
    </w:lvl>
    <w:lvl w:ilvl="7">
      <w:isLgl w:val="false"/>
      <w:lvlJc w:val="left"/>
      <w:lvlText w:val="•"/>
      <w:numFmt w:val="bullet"/>
      <w:pPr>
        <w:pBdr/>
        <w:spacing/>
        <w:ind w:hanging="215" w:left="6781"/>
      </w:pPr>
      <w:rPr>
        <w:rFonts w:hint="default"/>
        <w:lang w:val="it-IT" w:eastAsia="en-US" w:bidi="ar-SA"/>
      </w:rPr>
      <w:start w:val="0"/>
      <w:suff w:val="tab"/>
    </w:lvl>
    <w:lvl w:ilvl="8">
      <w:isLgl w:val="false"/>
      <w:lvlJc w:val="left"/>
      <w:lvlText w:val="•"/>
      <w:numFmt w:val="bullet"/>
      <w:pPr>
        <w:pBdr/>
        <w:spacing/>
        <w:ind w:hanging="215" w:left="7828"/>
      </w:pPr>
      <w:rPr>
        <w:rFonts w:hint="default"/>
        <w:lang w:val="it-IT" w:eastAsia="en-US" w:bidi="ar-SA"/>
      </w:rPr>
      <w:start w:val="0"/>
      <w:suff w:val="tab"/>
    </w:lvl>
  </w:abstractNum>
  <w:abstractNum w:abstractNumId="6">
    <w:lvl w:ilvl="0">
      <w:isLgl w:val="false"/>
      <w:lvlJc w:val="left"/>
      <w:lvlText w:val="%1."/>
      <w:numFmt w:val="decimal"/>
      <w:pPr>
        <w:pBdr/>
        <w:spacing/>
        <w:ind w:hanging="360" w:left="502"/>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2)"/>
      <w:numFmt w:val="lowerLetter"/>
      <w:pPr>
        <w:pBdr/>
        <w:spacing/>
        <w:ind w:hanging="410" w:left="862"/>
      </w:pPr>
      <w:rPr>
        <w:rFonts w:hint="default" w:ascii="Calibri" w:hAnsi="Calibri" w:eastAsia="Calibri" w:cs="Calibri"/>
        <w:b w:val="0"/>
        <w:bCs w:val="0"/>
        <w:i w:val="0"/>
        <w:iCs w:val="0"/>
        <w:spacing w:val="-1"/>
        <w:sz w:val="22"/>
        <w:szCs w:val="22"/>
        <w:lang w:val="it-IT" w:eastAsia="en-US" w:bidi="ar-SA"/>
      </w:rPr>
      <w:start w:val="1"/>
      <w:suff w:val="tab"/>
    </w:lvl>
    <w:lvl w:ilvl="2">
      <w:isLgl w:val="false"/>
      <w:lvlJc w:val="left"/>
      <w:lvlText w:val="•"/>
      <w:numFmt w:val="bullet"/>
      <w:pPr>
        <w:pBdr/>
        <w:spacing/>
        <w:ind w:hanging="410" w:left="1866"/>
      </w:pPr>
      <w:rPr>
        <w:rFonts w:hint="default"/>
        <w:lang w:val="it-IT" w:eastAsia="en-US" w:bidi="ar-SA"/>
      </w:rPr>
      <w:start w:val="0"/>
      <w:suff w:val="tab"/>
    </w:lvl>
    <w:lvl w:ilvl="3">
      <w:isLgl w:val="false"/>
      <w:lvlJc w:val="left"/>
      <w:lvlText w:val="•"/>
      <w:numFmt w:val="bullet"/>
      <w:pPr>
        <w:pBdr/>
        <w:spacing/>
        <w:ind w:hanging="410" w:left="2873"/>
      </w:pPr>
      <w:rPr>
        <w:rFonts w:hint="default"/>
        <w:lang w:val="it-IT" w:eastAsia="en-US" w:bidi="ar-SA"/>
      </w:rPr>
      <w:start w:val="0"/>
      <w:suff w:val="tab"/>
    </w:lvl>
    <w:lvl w:ilvl="4">
      <w:isLgl w:val="false"/>
      <w:lvlJc w:val="left"/>
      <w:lvlText w:val="•"/>
      <w:numFmt w:val="bullet"/>
      <w:pPr>
        <w:pBdr/>
        <w:spacing/>
        <w:ind w:hanging="410" w:left="3880"/>
      </w:pPr>
      <w:rPr>
        <w:rFonts w:hint="default"/>
        <w:lang w:val="it-IT" w:eastAsia="en-US" w:bidi="ar-SA"/>
      </w:rPr>
      <w:start w:val="0"/>
      <w:suff w:val="tab"/>
    </w:lvl>
    <w:lvl w:ilvl="5">
      <w:isLgl w:val="false"/>
      <w:lvlJc w:val="left"/>
      <w:lvlText w:val="•"/>
      <w:numFmt w:val="bullet"/>
      <w:pPr>
        <w:pBdr/>
        <w:spacing/>
        <w:ind w:hanging="410" w:left="4887"/>
      </w:pPr>
      <w:rPr>
        <w:rFonts w:hint="default"/>
        <w:lang w:val="it-IT" w:eastAsia="en-US" w:bidi="ar-SA"/>
      </w:rPr>
      <w:start w:val="0"/>
      <w:suff w:val="tab"/>
    </w:lvl>
    <w:lvl w:ilvl="6">
      <w:isLgl w:val="false"/>
      <w:lvlJc w:val="left"/>
      <w:lvlText w:val="•"/>
      <w:numFmt w:val="bullet"/>
      <w:pPr>
        <w:pBdr/>
        <w:spacing/>
        <w:ind w:hanging="410" w:left="5894"/>
      </w:pPr>
      <w:rPr>
        <w:rFonts w:hint="default"/>
        <w:lang w:val="it-IT" w:eastAsia="en-US" w:bidi="ar-SA"/>
      </w:rPr>
      <w:start w:val="0"/>
      <w:suff w:val="tab"/>
    </w:lvl>
    <w:lvl w:ilvl="7">
      <w:isLgl w:val="false"/>
      <w:lvlJc w:val="left"/>
      <w:lvlText w:val="•"/>
      <w:numFmt w:val="bullet"/>
      <w:pPr>
        <w:pBdr/>
        <w:spacing/>
        <w:ind w:hanging="410" w:left="6901"/>
      </w:pPr>
      <w:rPr>
        <w:rFonts w:hint="default"/>
        <w:lang w:val="it-IT" w:eastAsia="en-US" w:bidi="ar-SA"/>
      </w:rPr>
      <w:start w:val="0"/>
      <w:suff w:val="tab"/>
    </w:lvl>
    <w:lvl w:ilvl="8">
      <w:isLgl w:val="false"/>
      <w:lvlJc w:val="left"/>
      <w:lvlText w:val="•"/>
      <w:numFmt w:val="bullet"/>
      <w:pPr>
        <w:pBdr/>
        <w:spacing/>
        <w:ind w:hanging="410" w:left="7908"/>
      </w:pPr>
      <w:rPr>
        <w:rFonts w:hint="default"/>
        <w:lang w:val="it-IT" w:eastAsia="en-US" w:bidi="ar-SA"/>
      </w:rPr>
      <w:start w:val="0"/>
      <w:suff w:val="tab"/>
    </w:lvl>
  </w:abstractNum>
  <w:abstractNum w:abstractNumId="7">
    <w:lvl w:ilvl="0">
      <w:isLgl w:val="false"/>
      <w:lvlJc w:val="left"/>
      <w:lvlText w:val="%1."/>
      <w:numFmt w:val="decimal"/>
      <w:pPr>
        <w:pBdr/>
        <w:spacing/>
        <w:ind w:hanging="360" w:left="502"/>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360" w:left="862"/>
      </w:pPr>
      <w:rPr>
        <w:rFonts w:hint="default" w:ascii="Cambria" w:hAnsi="Cambria" w:eastAsia="Cambria" w:cs="Cambria"/>
        <w:b w:val="0"/>
        <w:bCs w:val="0"/>
        <w:i w:val="0"/>
        <w:iCs w:val="0"/>
        <w:spacing w:val="0"/>
        <w:sz w:val="22"/>
        <w:szCs w:val="22"/>
        <w:lang w:val="it-IT" w:eastAsia="en-US" w:bidi="ar-SA"/>
      </w:rPr>
      <w:start w:val="0"/>
      <w:suff w:val="tab"/>
    </w:lvl>
    <w:lvl w:ilvl="2">
      <w:isLgl w:val="false"/>
      <w:lvlJc w:val="left"/>
      <w:lvlText w:val="•"/>
      <w:numFmt w:val="bullet"/>
      <w:pPr>
        <w:pBdr/>
        <w:spacing/>
        <w:ind w:hanging="360" w:left="1866"/>
      </w:pPr>
      <w:rPr>
        <w:rFonts w:hint="default"/>
        <w:lang w:val="it-IT" w:eastAsia="en-US" w:bidi="ar-SA"/>
      </w:rPr>
      <w:start w:val="0"/>
      <w:suff w:val="tab"/>
    </w:lvl>
    <w:lvl w:ilvl="3">
      <w:isLgl w:val="false"/>
      <w:lvlJc w:val="left"/>
      <w:lvlText w:val="•"/>
      <w:numFmt w:val="bullet"/>
      <w:pPr>
        <w:pBdr/>
        <w:spacing/>
        <w:ind w:hanging="360" w:left="2873"/>
      </w:pPr>
      <w:rPr>
        <w:rFonts w:hint="default"/>
        <w:lang w:val="it-IT" w:eastAsia="en-US" w:bidi="ar-SA"/>
      </w:rPr>
      <w:start w:val="0"/>
      <w:suff w:val="tab"/>
    </w:lvl>
    <w:lvl w:ilvl="4">
      <w:isLgl w:val="false"/>
      <w:lvlJc w:val="left"/>
      <w:lvlText w:val="•"/>
      <w:numFmt w:val="bullet"/>
      <w:pPr>
        <w:pBdr/>
        <w:spacing/>
        <w:ind w:hanging="360" w:left="3880"/>
      </w:pPr>
      <w:rPr>
        <w:rFonts w:hint="default"/>
        <w:lang w:val="it-IT" w:eastAsia="en-US" w:bidi="ar-SA"/>
      </w:rPr>
      <w:start w:val="0"/>
      <w:suff w:val="tab"/>
    </w:lvl>
    <w:lvl w:ilvl="5">
      <w:isLgl w:val="false"/>
      <w:lvlJc w:val="left"/>
      <w:lvlText w:val="•"/>
      <w:numFmt w:val="bullet"/>
      <w:pPr>
        <w:pBdr/>
        <w:spacing/>
        <w:ind w:hanging="360" w:left="4887"/>
      </w:pPr>
      <w:rPr>
        <w:rFonts w:hint="default"/>
        <w:lang w:val="it-IT" w:eastAsia="en-US" w:bidi="ar-SA"/>
      </w:rPr>
      <w:start w:val="0"/>
      <w:suff w:val="tab"/>
    </w:lvl>
    <w:lvl w:ilvl="6">
      <w:isLgl w:val="false"/>
      <w:lvlJc w:val="left"/>
      <w:lvlText w:val="•"/>
      <w:numFmt w:val="bullet"/>
      <w:pPr>
        <w:pBdr/>
        <w:spacing/>
        <w:ind w:hanging="360" w:left="5894"/>
      </w:pPr>
      <w:rPr>
        <w:rFonts w:hint="default"/>
        <w:lang w:val="it-IT" w:eastAsia="en-US" w:bidi="ar-SA"/>
      </w:rPr>
      <w:start w:val="0"/>
      <w:suff w:val="tab"/>
    </w:lvl>
    <w:lvl w:ilvl="7">
      <w:isLgl w:val="false"/>
      <w:lvlJc w:val="left"/>
      <w:lvlText w:val="•"/>
      <w:numFmt w:val="bullet"/>
      <w:pPr>
        <w:pBdr/>
        <w:spacing/>
        <w:ind w:hanging="360" w:left="6901"/>
      </w:pPr>
      <w:rPr>
        <w:rFonts w:hint="default"/>
        <w:lang w:val="it-IT" w:eastAsia="en-US" w:bidi="ar-SA"/>
      </w:rPr>
      <w:start w:val="0"/>
      <w:suff w:val="tab"/>
    </w:lvl>
    <w:lvl w:ilvl="8">
      <w:isLgl w:val="false"/>
      <w:lvlJc w:val="left"/>
      <w:lvlText w:val="•"/>
      <w:numFmt w:val="bullet"/>
      <w:pPr>
        <w:pBdr/>
        <w:spacing/>
        <w:ind w:hanging="360" w:left="7908"/>
      </w:pPr>
      <w:rPr>
        <w:rFonts w:hint="default"/>
        <w:lang w:val="it-IT" w:eastAsia="en-US" w:bidi="ar-SA"/>
      </w:rPr>
      <w:start w:val="0"/>
      <w:suff w:val="tab"/>
    </w:lvl>
  </w:abstractNum>
  <w:abstractNum w:abstractNumId="8">
    <w:lvl w:ilvl="0">
      <w:isLgl w:val="false"/>
      <w:lvlJc w:val="left"/>
      <w:lvlText w:val="%1."/>
      <w:numFmt w:val="decimal"/>
      <w:pPr>
        <w:pBdr/>
        <w:spacing/>
        <w:ind w:hanging="360" w:left="502"/>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360" w:left="1442"/>
      </w:pPr>
      <w:rPr>
        <w:rFonts w:hint="default"/>
        <w:lang w:val="it-IT" w:eastAsia="en-US" w:bidi="ar-SA"/>
      </w:rPr>
      <w:start w:val="0"/>
      <w:suff w:val="tab"/>
    </w:lvl>
    <w:lvl w:ilvl="2">
      <w:isLgl w:val="false"/>
      <w:lvlJc w:val="left"/>
      <w:lvlText w:val="•"/>
      <w:numFmt w:val="bullet"/>
      <w:pPr>
        <w:pBdr/>
        <w:spacing/>
        <w:ind w:hanging="360" w:left="2384"/>
      </w:pPr>
      <w:rPr>
        <w:rFonts w:hint="default"/>
        <w:lang w:val="it-IT" w:eastAsia="en-US" w:bidi="ar-SA"/>
      </w:rPr>
      <w:start w:val="0"/>
      <w:suff w:val="tab"/>
    </w:lvl>
    <w:lvl w:ilvl="3">
      <w:isLgl w:val="false"/>
      <w:lvlJc w:val="left"/>
      <w:lvlText w:val="•"/>
      <w:numFmt w:val="bullet"/>
      <w:pPr>
        <w:pBdr/>
        <w:spacing/>
        <w:ind w:hanging="360" w:left="3326"/>
      </w:pPr>
      <w:rPr>
        <w:rFonts w:hint="default"/>
        <w:lang w:val="it-IT" w:eastAsia="en-US" w:bidi="ar-SA"/>
      </w:rPr>
      <w:start w:val="0"/>
      <w:suff w:val="tab"/>
    </w:lvl>
    <w:lvl w:ilvl="4">
      <w:isLgl w:val="false"/>
      <w:lvlJc w:val="left"/>
      <w:lvlText w:val="•"/>
      <w:numFmt w:val="bullet"/>
      <w:pPr>
        <w:pBdr/>
        <w:spacing/>
        <w:ind w:hanging="360" w:left="4268"/>
      </w:pPr>
      <w:rPr>
        <w:rFonts w:hint="default"/>
        <w:lang w:val="it-IT" w:eastAsia="en-US" w:bidi="ar-SA"/>
      </w:rPr>
      <w:start w:val="0"/>
      <w:suff w:val="tab"/>
    </w:lvl>
    <w:lvl w:ilvl="5">
      <w:isLgl w:val="false"/>
      <w:lvlJc w:val="left"/>
      <w:lvlText w:val="•"/>
      <w:numFmt w:val="bullet"/>
      <w:pPr>
        <w:pBdr/>
        <w:spacing/>
        <w:ind w:hanging="360" w:left="5211"/>
      </w:pPr>
      <w:rPr>
        <w:rFonts w:hint="default"/>
        <w:lang w:val="it-IT" w:eastAsia="en-US" w:bidi="ar-SA"/>
      </w:rPr>
      <w:start w:val="0"/>
      <w:suff w:val="tab"/>
    </w:lvl>
    <w:lvl w:ilvl="6">
      <w:isLgl w:val="false"/>
      <w:lvlJc w:val="left"/>
      <w:lvlText w:val="•"/>
      <w:numFmt w:val="bullet"/>
      <w:pPr>
        <w:pBdr/>
        <w:spacing/>
        <w:ind w:hanging="360" w:left="6153"/>
      </w:pPr>
      <w:rPr>
        <w:rFonts w:hint="default"/>
        <w:lang w:val="it-IT" w:eastAsia="en-US" w:bidi="ar-SA"/>
      </w:rPr>
      <w:start w:val="0"/>
      <w:suff w:val="tab"/>
    </w:lvl>
    <w:lvl w:ilvl="7">
      <w:isLgl w:val="false"/>
      <w:lvlJc w:val="left"/>
      <w:lvlText w:val="•"/>
      <w:numFmt w:val="bullet"/>
      <w:pPr>
        <w:pBdr/>
        <w:spacing/>
        <w:ind w:hanging="360" w:left="7095"/>
      </w:pPr>
      <w:rPr>
        <w:rFonts w:hint="default"/>
        <w:lang w:val="it-IT" w:eastAsia="en-US" w:bidi="ar-SA"/>
      </w:rPr>
      <w:start w:val="0"/>
      <w:suff w:val="tab"/>
    </w:lvl>
    <w:lvl w:ilvl="8">
      <w:isLgl w:val="false"/>
      <w:lvlJc w:val="left"/>
      <w:lvlText w:val="•"/>
      <w:numFmt w:val="bullet"/>
      <w:pPr>
        <w:pBdr/>
        <w:spacing/>
        <w:ind w:hanging="360" w:left="8037"/>
      </w:pPr>
      <w:rPr>
        <w:rFonts w:hint="default"/>
        <w:lang w:val="it-IT" w:eastAsia="en-US" w:bidi="ar-SA"/>
      </w:rPr>
      <w:start w:val="0"/>
      <w:suff w:val="tab"/>
    </w:lvl>
  </w:abstractNum>
  <w:abstractNum w:abstractNumId="9">
    <w:lvl w:ilvl="0">
      <w:isLgl w:val="false"/>
      <w:lvlJc w:val="left"/>
      <w:lvlText w:val="%1."/>
      <w:numFmt w:val="decimal"/>
      <w:pPr>
        <w:pBdr/>
        <w:spacing/>
        <w:ind w:hanging="708" w:left="142"/>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360" w:left="862"/>
      </w:pPr>
      <w:rPr>
        <w:rFonts w:hint="default" w:ascii="Symbol" w:hAnsi="Symbol" w:eastAsia="Symbol" w:cs="Symbol"/>
        <w:b w:val="0"/>
        <w:bCs w:val="0"/>
        <w:i w:val="0"/>
        <w:iCs w:val="0"/>
        <w:spacing w:val="0"/>
        <w:sz w:val="22"/>
        <w:szCs w:val="22"/>
        <w:lang w:val="it-IT" w:eastAsia="en-US" w:bidi="ar-SA"/>
      </w:rPr>
      <w:start w:val="0"/>
      <w:suff w:val="tab"/>
    </w:lvl>
    <w:lvl w:ilvl="2">
      <w:isLgl w:val="false"/>
      <w:lvlJc w:val="left"/>
      <w:lvlText w:val="•"/>
      <w:numFmt w:val="bullet"/>
      <w:pPr>
        <w:pBdr/>
        <w:spacing/>
        <w:ind w:hanging="360" w:left="1866"/>
      </w:pPr>
      <w:rPr>
        <w:rFonts w:hint="default"/>
        <w:lang w:val="it-IT" w:eastAsia="en-US" w:bidi="ar-SA"/>
      </w:rPr>
      <w:start w:val="0"/>
      <w:suff w:val="tab"/>
    </w:lvl>
    <w:lvl w:ilvl="3">
      <w:isLgl w:val="false"/>
      <w:lvlJc w:val="left"/>
      <w:lvlText w:val="•"/>
      <w:numFmt w:val="bullet"/>
      <w:pPr>
        <w:pBdr/>
        <w:spacing/>
        <w:ind w:hanging="360" w:left="2873"/>
      </w:pPr>
      <w:rPr>
        <w:rFonts w:hint="default"/>
        <w:lang w:val="it-IT" w:eastAsia="en-US" w:bidi="ar-SA"/>
      </w:rPr>
      <w:start w:val="0"/>
      <w:suff w:val="tab"/>
    </w:lvl>
    <w:lvl w:ilvl="4">
      <w:isLgl w:val="false"/>
      <w:lvlJc w:val="left"/>
      <w:lvlText w:val="•"/>
      <w:numFmt w:val="bullet"/>
      <w:pPr>
        <w:pBdr/>
        <w:spacing/>
        <w:ind w:hanging="360" w:left="3880"/>
      </w:pPr>
      <w:rPr>
        <w:rFonts w:hint="default"/>
        <w:lang w:val="it-IT" w:eastAsia="en-US" w:bidi="ar-SA"/>
      </w:rPr>
      <w:start w:val="0"/>
      <w:suff w:val="tab"/>
    </w:lvl>
    <w:lvl w:ilvl="5">
      <w:isLgl w:val="false"/>
      <w:lvlJc w:val="left"/>
      <w:lvlText w:val="•"/>
      <w:numFmt w:val="bullet"/>
      <w:pPr>
        <w:pBdr/>
        <w:spacing/>
        <w:ind w:hanging="360" w:left="4887"/>
      </w:pPr>
      <w:rPr>
        <w:rFonts w:hint="default"/>
        <w:lang w:val="it-IT" w:eastAsia="en-US" w:bidi="ar-SA"/>
      </w:rPr>
      <w:start w:val="0"/>
      <w:suff w:val="tab"/>
    </w:lvl>
    <w:lvl w:ilvl="6">
      <w:isLgl w:val="false"/>
      <w:lvlJc w:val="left"/>
      <w:lvlText w:val="•"/>
      <w:numFmt w:val="bullet"/>
      <w:pPr>
        <w:pBdr/>
        <w:spacing/>
        <w:ind w:hanging="360" w:left="5894"/>
      </w:pPr>
      <w:rPr>
        <w:rFonts w:hint="default"/>
        <w:lang w:val="it-IT" w:eastAsia="en-US" w:bidi="ar-SA"/>
      </w:rPr>
      <w:start w:val="0"/>
      <w:suff w:val="tab"/>
    </w:lvl>
    <w:lvl w:ilvl="7">
      <w:isLgl w:val="false"/>
      <w:lvlJc w:val="left"/>
      <w:lvlText w:val="•"/>
      <w:numFmt w:val="bullet"/>
      <w:pPr>
        <w:pBdr/>
        <w:spacing/>
        <w:ind w:hanging="360" w:left="6901"/>
      </w:pPr>
      <w:rPr>
        <w:rFonts w:hint="default"/>
        <w:lang w:val="it-IT" w:eastAsia="en-US" w:bidi="ar-SA"/>
      </w:rPr>
      <w:start w:val="0"/>
      <w:suff w:val="tab"/>
    </w:lvl>
    <w:lvl w:ilvl="8">
      <w:isLgl w:val="false"/>
      <w:lvlJc w:val="left"/>
      <w:lvlText w:val="•"/>
      <w:numFmt w:val="bullet"/>
      <w:pPr>
        <w:pBdr/>
        <w:spacing/>
        <w:ind w:hanging="360" w:left="7908"/>
      </w:pPr>
      <w:rPr>
        <w:rFonts w:hint="default"/>
        <w:lang w:val="it-IT" w:eastAsia="en-US" w:bidi="ar-SA"/>
      </w:rPr>
      <w:start w:val="0"/>
      <w:suff w:val="tab"/>
    </w:lvl>
  </w:abstractNum>
  <w:abstractNum w:abstractNumId="10">
    <w:lvl w:ilvl="0">
      <w:isLgl w:val="false"/>
      <w:lvlJc w:val="left"/>
      <w:lvlText w:val="%1."/>
      <w:numFmt w:val="decimal"/>
      <w:pPr>
        <w:pBdr/>
        <w:spacing/>
        <w:ind w:hanging="708" w:left="142"/>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708" w:left="1118"/>
      </w:pPr>
      <w:rPr>
        <w:rFonts w:hint="default"/>
        <w:lang w:val="it-IT" w:eastAsia="en-US" w:bidi="ar-SA"/>
      </w:rPr>
      <w:start w:val="0"/>
      <w:suff w:val="tab"/>
    </w:lvl>
    <w:lvl w:ilvl="2">
      <w:isLgl w:val="false"/>
      <w:lvlJc w:val="left"/>
      <w:lvlText w:val="•"/>
      <w:numFmt w:val="bullet"/>
      <w:pPr>
        <w:pBdr/>
        <w:spacing/>
        <w:ind w:hanging="708" w:left="2096"/>
      </w:pPr>
      <w:rPr>
        <w:rFonts w:hint="default"/>
        <w:lang w:val="it-IT" w:eastAsia="en-US" w:bidi="ar-SA"/>
      </w:rPr>
      <w:start w:val="0"/>
      <w:suff w:val="tab"/>
    </w:lvl>
    <w:lvl w:ilvl="3">
      <w:isLgl w:val="false"/>
      <w:lvlJc w:val="left"/>
      <w:lvlText w:val="•"/>
      <w:numFmt w:val="bullet"/>
      <w:pPr>
        <w:pBdr/>
        <w:spacing/>
        <w:ind w:hanging="708" w:left="3074"/>
      </w:pPr>
      <w:rPr>
        <w:rFonts w:hint="default"/>
        <w:lang w:val="it-IT" w:eastAsia="en-US" w:bidi="ar-SA"/>
      </w:rPr>
      <w:start w:val="0"/>
      <w:suff w:val="tab"/>
    </w:lvl>
    <w:lvl w:ilvl="4">
      <w:isLgl w:val="false"/>
      <w:lvlJc w:val="left"/>
      <w:lvlText w:val="•"/>
      <w:numFmt w:val="bullet"/>
      <w:pPr>
        <w:pBdr/>
        <w:spacing/>
        <w:ind w:hanging="708" w:left="4052"/>
      </w:pPr>
      <w:rPr>
        <w:rFonts w:hint="default"/>
        <w:lang w:val="it-IT" w:eastAsia="en-US" w:bidi="ar-SA"/>
      </w:rPr>
      <w:start w:val="0"/>
      <w:suff w:val="tab"/>
    </w:lvl>
    <w:lvl w:ilvl="5">
      <w:isLgl w:val="false"/>
      <w:lvlJc w:val="left"/>
      <w:lvlText w:val="•"/>
      <w:numFmt w:val="bullet"/>
      <w:pPr>
        <w:pBdr/>
        <w:spacing/>
        <w:ind w:hanging="708" w:left="5031"/>
      </w:pPr>
      <w:rPr>
        <w:rFonts w:hint="default"/>
        <w:lang w:val="it-IT" w:eastAsia="en-US" w:bidi="ar-SA"/>
      </w:rPr>
      <w:start w:val="0"/>
      <w:suff w:val="tab"/>
    </w:lvl>
    <w:lvl w:ilvl="6">
      <w:isLgl w:val="false"/>
      <w:lvlJc w:val="left"/>
      <w:lvlText w:val="•"/>
      <w:numFmt w:val="bullet"/>
      <w:pPr>
        <w:pBdr/>
        <w:spacing/>
        <w:ind w:hanging="708" w:left="6009"/>
      </w:pPr>
      <w:rPr>
        <w:rFonts w:hint="default"/>
        <w:lang w:val="it-IT" w:eastAsia="en-US" w:bidi="ar-SA"/>
      </w:rPr>
      <w:start w:val="0"/>
      <w:suff w:val="tab"/>
    </w:lvl>
    <w:lvl w:ilvl="7">
      <w:isLgl w:val="false"/>
      <w:lvlJc w:val="left"/>
      <w:lvlText w:val="•"/>
      <w:numFmt w:val="bullet"/>
      <w:pPr>
        <w:pBdr/>
        <w:spacing/>
        <w:ind w:hanging="708" w:left="6987"/>
      </w:pPr>
      <w:rPr>
        <w:rFonts w:hint="default"/>
        <w:lang w:val="it-IT" w:eastAsia="en-US" w:bidi="ar-SA"/>
      </w:rPr>
      <w:start w:val="0"/>
      <w:suff w:val="tab"/>
    </w:lvl>
    <w:lvl w:ilvl="8">
      <w:isLgl w:val="false"/>
      <w:lvlJc w:val="left"/>
      <w:lvlText w:val="•"/>
      <w:numFmt w:val="bullet"/>
      <w:pPr>
        <w:pBdr/>
        <w:spacing/>
        <w:ind w:hanging="708" w:left="7965"/>
      </w:pPr>
      <w:rPr>
        <w:rFonts w:hint="default"/>
        <w:lang w:val="it-IT" w:eastAsia="en-US" w:bidi="ar-SA"/>
      </w:rPr>
      <w:start w:val="0"/>
      <w:suff w:val="tab"/>
    </w:lvl>
  </w:abstractNum>
  <w:abstractNum w:abstractNumId="11">
    <w:lvl w:ilvl="0">
      <w:isLgl w:val="false"/>
      <w:lvlJc w:val="left"/>
      <w:lvlText w:val="%1."/>
      <w:numFmt w:val="decimal"/>
      <w:pPr>
        <w:pBdr/>
        <w:spacing/>
        <w:ind w:hanging="708" w:left="142"/>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708" w:left="1118"/>
      </w:pPr>
      <w:rPr>
        <w:rFonts w:hint="default"/>
        <w:lang w:val="it-IT" w:eastAsia="en-US" w:bidi="ar-SA"/>
      </w:rPr>
      <w:start w:val="0"/>
      <w:suff w:val="tab"/>
    </w:lvl>
    <w:lvl w:ilvl="2">
      <w:isLgl w:val="false"/>
      <w:lvlJc w:val="left"/>
      <w:lvlText w:val="•"/>
      <w:numFmt w:val="bullet"/>
      <w:pPr>
        <w:pBdr/>
        <w:spacing/>
        <w:ind w:hanging="708" w:left="2096"/>
      </w:pPr>
      <w:rPr>
        <w:rFonts w:hint="default"/>
        <w:lang w:val="it-IT" w:eastAsia="en-US" w:bidi="ar-SA"/>
      </w:rPr>
      <w:start w:val="0"/>
      <w:suff w:val="tab"/>
    </w:lvl>
    <w:lvl w:ilvl="3">
      <w:isLgl w:val="false"/>
      <w:lvlJc w:val="left"/>
      <w:lvlText w:val="•"/>
      <w:numFmt w:val="bullet"/>
      <w:pPr>
        <w:pBdr/>
        <w:spacing/>
        <w:ind w:hanging="708" w:left="3074"/>
      </w:pPr>
      <w:rPr>
        <w:rFonts w:hint="default"/>
        <w:lang w:val="it-IT" w:eastAsia="en-US" w:bidi="ar-SA"/>
      </w:rPr>
      <w:start w:val="0"/>
      <w:suff w:val="tab"/>
    </w:lvl>
    <w:lvl w:ilvl="4">
      <w:isLgl w:val="false"/>
      <w:lvlJc w:val="left"/>
      <w:lvlText w:val="•"/>
      <w:numFmt w:val="bullet"/>
      <w:pPr>
        <w:pBdr/>
        <w:spacing/>
        <w:ind w:hanging="708" w:left="4052"/>
      </w:pPr>
      <w:rPr>
        <w:rFonts w:hint="default"/>
        <w:lang w:val="it-IT" w:eastAsia="en-US" w:bidi="ar-SA"/>
      </w:rPr>
      <w:start w:val="0"/>
      <w:suff w:val="tab"/>
    </w:lvl>
    <w:lvl w:ilvl="5">
      <w:isLgl w:val="false"/>
      <w:lvlJc w:val="left"/>
      <w:lvlText w:val="•"/>
      <w:numFmt w:val="bullet"/>
      <w:pPr>
        <w:pBdr/>
        <w:spacing/>
        <w:ind w:hanging="708" w:left="5031"/>
      </w:pPr>
      <w:rPr>
        <w:rFonts w:hint="default"/>
        <w:lang w:val="it-IT" w:eastAsia="en-US" w:bidi="ar-SA"/>
      </w:rPr>
      <w:start w:val="0"/>
      <w:suff w:val="tab"/>
    </w:lvl>
    <w:lvl w:ilvl="6">
      <w:isLgl w:val="false"/>
      <w:lvlJc w:val="left"/>
      <w:lvlText w:val="•"/>
      <w:numFmt w:val="bullet"/>
      <w:pPr>
        <w:pBdr/>
        <w:spacing/>
        <w:ind w:hanging="708" w:left="6009"/>
      </w:pPr>
      <w:rPr>
        <w:rFonts w:hint="default"/>
        <w:lang w:val="it-IT" w:eastAsia="en-US" w:bidi="ar-SA"/>
      </w:rPr>
      <w:start w:val="0"/>
      <w:suff w:val="tab"/>
    </w:lvl>
    <w:lvl w:ilvl="7">
      <w:isLgl w:val="false"/>
      <w:lvlJc w:val="left"/>
      <w:lvlText w:val="•"/>
      <w:numFmt w:val="bullet"/>
      <w:pPr>
        <w:pBdr/>
        <w:spacing/>
        <w:ind w:hanging="708" w:left="6987"/>
      </w:pPr>
      <w:rPr>
        <w:rFonts w:hint="default"/>
        <w:lang w:val="it-IT" w:eastAsia="en-US" w:bidi="ar-SA"/>
      </w:rPr>
      <w:start w:val="0"/>
      <w:suff w:val="tab"/>
    </w:lvl>
    <w:lvl w:ilvl="8">
      <w:isLgl w:val="false"/>
      <w:lvlJc w:val="left"/>
      <w:lvlText w:val="•"/>
      <w:numFmt w:val="bullet"/>
      <w:pPr>
        <w:pBdr/>
        <w:spacing/>
        <w:ind w:hanging="708" w:left="7965"/>
      </w:pPr>
      <w:rPr>
        <w:rFonts w:hint="default"/>
        <w:lang w:val="it-IT" w:eastAsia="en-US" w:bidi="ar-SA"/>
      </w:rPr>
      <w:start w:val="0"/>
      <w:suff w:val="tab"/>
    </w:lvl>
  </w:abstractNum>
  <w:abstractNum w:abstractNumId="12">
    <w:lvl w:ilvl="0">
      <w:isLgl w:val="false"/>
      <w:lvlJc w:val="left"/>
      <w:lvlText w:val="%1."/>
      <w:numFmt w:val="decimal"/>
      <w:pPr>
        <w:pBdr/>
        <w:spacing/>
        <w:ind w:hanging="360" w:left="360"/>
      </w:pPr>
      <w:rPr/>
      <w:start w:val="1"/>
      <w:suff w:val="tab"/>
    </w:lvl>
    <w:lvl w:ilvl="1">
      <w:isLgl w:val="false"/>
      <w:lvlJc w:val="left"/>
      <w:lvlText w:val="%2."/>
      <w:numFmt w:val="lowerLetter"/>
      <w:pPr>
        <w:pBdr/>
        <w:spacing/>
        <w:ind w:hanging="360" w:left="1080"/>
      </w:pPr>
      <w:rPr/>
      <w:start w:val="1"/>
      <w:suff w:val="tab"/>
    </w:lvl>
    <w:lvl w:ilvl="2">
      <w:isLgl w:val="false"/>
      <w:lvlJc w:val="right"/>
      <w:lvlText w:val="%3."/>
      <w:numFmt w:val="lowerRoman"/>
      <w:pPr>
        <w:pBdr/>
        <w:spacing/>
        <w:ind w:hanging="180" w:left="1800"/>
      </w:pPr>
      <w:rPr/>
      <w:start w:val="1"/>
      <w:suff w:val="tab"/>
    </w:lvl>
    <w:lvl w:ilvl="3">
      <w:isLgl w:val="false"/>
      <w:lvlJc w:val="left"/>
      <w:lvlText w:val="%4."/>
      <w:numFmt w:val="decimal"/>
      <w:pPr>
        <w:pBdr/>
        <w:spacing/>
        <w:ind w:hanging="360" w:left="2520"/>
      </w:pPr>
      <w:rPr/>
      <w:start w:val="1"/>
      <w:suff w:val="tab"/>
    </w:lvl>
    <w:lvl w:ilvl="4">
      <w:isLgl w:val="false"/>
      <w:lvlJc w:val="left"/>
      <w:lvlText w:val="%5."/>
      <w:numFmt w:val="lowerLetter"/>
      <w:pPr>
        <w:pBdr/>
        <w:spacing/>
        <w:ind w:hanging="360" w:left="3240"/>
      </w:pPr>
      <w:rPr/>
      <w:start w:val="1"/>
      <w:suff w:val="tab"/>
    </w:lvl>
    <w:lvl w:ilvl="5">
      <w:isLgl w:val="false"/>
      <w:lvlJc w:val="right"/>
      <w:lvlText w:val="%6."/>
      <w:numFmt w:val="lowerRoman"/>
      <w:pPr>
        <w:pBdr/>
        <w:spacing/>
        <w:ind w:hanging="180" w:left="3960"/>
      </w:pPr>
      <w:rPr/>
      <w:start w:val="1"/>
      <w:suff w:val="tab"/>
    </w:lvl>
    <w:lvl w:ilvl="6">
      <w:isLgl w:val="false"/>
      <w:lvlJc w:val="left"/>
      <w:lvlText w:val="%7."/>
      <w:numFmt w:val="decimal"/>
      <w:pPr>
        <w:pBdr/>
        <w:spacing/>
        <w:ind w:hanging="360" w:left="4680"/>
      </w:pPr>
      <w:rPr/>
      <w:start w:val="1"/>
      <w:suff w:val="tab"/>
    </w:lvl>
    <w:lvl w:ilvl="7">
      <w:isLgl w:val="false"/>
      <w:lvlJc w:val="left"/>
      <w:lvlText w:val="%8."/>
      <w:numFmt w:val="lowerLetter"/>
      <w:pPr>
        <w:pBdr/>
        <w:spacing/>
        <w:ind w:hanging="360" w:left="5400"/>
      </w:pPr>
      <w:rPr/>
      <w:start w:val="1"/>
      <w:suff w:val="tab"/>
    </w:lvl>
    <w:lvl w:ilvl="8">
      <w:isLgl w:val="false"/>
      <w:lvlJc w:val="right"/>
      <w:lvlText w:val="%9."/>
      <w:numFmt w:val="lowerRoman"/>
      <w:pPr>
        <w:pBdr/>
        <w:spacing/>
        <w:ind w:hanging="180" w:left="6120"/>
      </w:pPr>
      <w:rPr/>
      <w:start w:val="1"/>
      <w:suff w:val="tab"/>
    </w:lvl>
  </w:abstractNum>
  <w:abstractNum w:abstractNumId="13">
    <w:lvl w:ilvl="0">
      <w:isLgl w:val="false"/>
      <w:lvlJc w:val="left"/>
      <w:lvlText w:val="%1."/>
      <w:numFmt w:val="decimal"/>
      <w:pPr>
        <w:pBdr/>
        <w:spacing/>
        <w:ind w:hanging="294" w:left="568"/>
      </w:pPr>
      <w:rPr>
        <w:rFonts w:hint="default" w:ascii="Arial MT" w:hAnsi="Arial MT" w:eastAsia="Arial MT" w:cs="Arial MT"/>
        <w:b w:val="0"/>
        <w:bCs w:val="0"/>
        <w:i w:val="0"/>
        <w:iCs w:val="0"/>
        <w:spacing w:val="-1"/>
        <w:sz w:val="22"/>
        <w:szCs w:val="22"/>
        <w:lang w:val="it-IT" w:eastAsia="en-US" w:bidi="ar-SA"/>
      </w:rPr>
      <w:start w:val="1"/>
      <w:suff w:val="tab"/>
    </w:lvl>
    <w:lvl w:ilvl="1">
      <w:isLgl w:val="false"/>
      <w:lvlJc w:val="left"/>
      <w:lvlText w:val="%2."/>
      <w:numFmt w:val="lowerLetter"/>
      <w:pPr>
        <w:pBdr/>
        <w:spacing/>
        <w:ind w:hanging="294" w:left="568"/>
      </w:pPr>
      <w:rPr>
        <w:rFonts w:hint="default" w:ascii="Calibri" w:hAnsi="Calibri" w:eastAsia="Calibri" w:cs="Calibri"/>
        <w:b w:val="0"/>
        <w:bCs w:val="0"/>
        <w:i w:val="0"/>
        <w:iCs w:val="0"/>
        <w:spacing w:val="-1"/>
        <w:sz w:val="22"/>
        <w:szCs w:val="22"/>
        <w:lang w:val="it-IT" w:eastAsia="en-US" w:bidi="ar-SA"/>
      </w:rPr>
      <w:start w:val="1"/>
      <w:suff w:val="tab"/>
    </w:lvl>
    <w:lvl w:ilvl="2">
      <w:isLgl w:val="false"/>
      <w:lvlJc w:val="left"/>
      <w:lvlText w:val="•"/>
      <w:numFmt w:val="bullet"/>
      <w:pPr>
        <w:pBdr/>
        <w:spacing/>
        <w:ind w:hanging="294" w:left="2432"/>
      </w:pPr>
      <w:rPr>
        <w:rFonts w:hint="default"/>
        <w:lang w:val="it-IT" w:eastAsia="en-US" w:bidi="ar-SA"/>
      </w:rPr>
      <w:start w:val="0"/>
      <w:suff w:val="tab"/>
    </w:lvl>
    <w:lvl w:ilvl="3">
      <w:isLgl w:val="false"/>
      <w:lvlJc w:val="left"/>
      <w:lvlText w:val="•"/>
      <w:numFmt w:val="bullet"/>
      <w:pPr>
        <w:pBdr/>
        <w:spacing/>
        <w:ind w:hanging="294" w:left="3368"/>
      </w:pPr>
      <w:rPr>
        <w:rFonts w:hint="default"/>
        <w:lang w:val="it-IT" w:eastAsia="en-US" w:bidi="ar-SA"/>
      </w:rPr>
      <w:start w:val="0"/>
      <w:suff w:val="tab"/>
    </w:lvl>
    <w:lvl w:ilvl="4">
      <w:isLgl w:val="false"/>
      <w:lvlJc w:val="left"/>
      <w:lvlText w:val="•"/>
      <w:numFmt w:val="bullet"/>
      <w:pPr>
        <w:pBdr/>
        <w:spacing/>
        <w:ind w:hanging="294" w:left="4304"/>
      </w:pPr>
      <w:rPr>
        <w:rFonts w:hint="default"/>
        <w:lang w:val="it-IT" w:eastAsia="en-US" w:bidi="ar-SA"/>
      </w:rPr>
      <w:start w:val="0"/>
      <w:suff w:val="tab"/>
    </w:lvl>
    <w:lvl w:ilvl="5">
      <w:isLgl w:val="false"/>
      <w:lvlJc w:val="left"/>
      <w:lvlText w:val="•"/>
      <w:numFmt w:val="bullet"/>
      <w:pPr>
        <w:pBdr/>
        <w:spacing/>
        <w:ind w:hanging="294" w:left="5241"/>
      </w:pPr>
      <w:rPr>
        <w:rFonts w:hint="default"/>
        <w:lang w:val="it-IT" w:eastAsia="en-US" w:bidi="ar-SA"/>
      </w:rPr>
      <w:start w:val="0"/>
      <w:suff w:val="tab"/>
    </w:lvl>
    <w:lvl w:ilvl="6">
      <w:isLgl w:val="false"/>
      <w:lvlJc w:val="left"/>
      <w:lvlText w:val="•"/>
      <w:numFmt w:val="bullet"/>
      <w:pPr>
        <w:pBdr/>
        <w:spacing/>
        <w:ind w:hanging="294" w:left="6177"/>
      </w:pPr>
      <w:rPr>
        <w:rFonts w:hint="default"/>
        <w:lang w:val="it-IT" w:eastAsia="en-US" w:bidi="ar-SA"/>
      </w:rPr>
      <w:start w:val="0"/>
      <w:suff w:val="tab"/>
    </w:lvl>
    <w:lvl w:ilvl="7">
      <w:isLgl w:val="false"/>
      <w:lvlJc w:val="left"/>
      <w:lvlText w:val="•"/>
      <w:numFmt w:val="bullet"/>
      <w:pPr>
        <w:pBdr/>
        <w:spacing/>
        <w:ind w:hanging="294" w:left="7113"/>
      </w:pPr>
      <w:rPr>
        <w:rFonts w:hint="default"/>
        <w:lang w:val="it-IT" w:eastAsia="en-US" w:bidi="ar-SA"/>
      </w:rPr>
      <w:start w:val="0"/>
      <w:suff w:val="tab"/>
    </w:lvl>
    <w:lvl w:ilvl="8">
      <w:isLgl w:val="false"/>
      <w:lvlJc w:val="left"/>
      <w:lvlText w:val="•"/>
      <w:numFmt w:val="bullet"/>
      <w:pPr>
        <w:pBdr/>
        <w:spacing/>
        <w:ind w:hanging="294" w:left="8049"/>
      </w:pPr>
      <w:rPr>
        <w:rFonts w:hint="default"/>
        <w:lang w:val="it-IT" w:eastAsia="en-US" w:bidi="ar-SA"/>
      </w:rPr>
      <w:start w:val="0"/>
      <w:suff w:val="tab"/>
    </w:lvl>
  </w:abstractNum>
  <w:abstractNum w:abstractNumId="14">
    <w:lvl w:ilvl="0">
      <w:isLgl w:val="false"/>
      <w:lvlJc w:val="left"/>
      <w:lvlText w:val="%1."/>
      <w:numFmt w:val="decimal"/>
      <w:pPr>
        <w:pBdr/>
        <w:spacing/>
        <w:ind w:hanging="410" w:left="502"/>
      </w:pPr>
      <w:rPr>
        <w:rFonts w:hint="default"/>
        <w:spacing w:val="-1"/>
        <w:lang w:val="it-IT" w:eastAsia="en-US" w:bidi="ar-SA"/>
      </w:rPr>
      <w:start w:val="1"/>
      <w:suff w:val="tab"/>
    </w:lvl>
    <w:lvl w:ilvl="1">
      <w:isLgl w:val="false"/>
      <w:lvlJc w:val="left"/>
      <w:lvlText w:val="•"/>
      <w:numFmt w:val="bullet"/>
      <w:pPr>
        <w:pBdr/>
        <w:spacing/>
        <w:ind w:hanging="410" w:left="1442"/>
      </w:pPr>
      <w:rPr>
        <w:rFonts w:hint="default"/>
        <w:lang w:val="it-IT" w:eastAsia="en-US" w:bidi="ar-SA"/>
      </w:rPr>
      <w:start w:val="0"/>
      <w:suff w:val="tab"/>
    </w:lvl>
    <w:lvl w:ilvl="2">
      <w:isLgl w:val="false"/>
      <w:lvlJc w:val="left"/>
      <w:lvlText w:val="•"/>
      <w:numFmt w:val="bullet"/>
      <w:pPr>
        <w:pBdr/>
        <w:spacing/>
        <w:ind w:hanging="410" w:left="2384"/>
      </w:pPr>
      <w:rPr>
        <w:rFonts w:hint="default"/>
        <w:lang w:val="it-IT" w:eastAsia="en-US" w:bidi="ar-SA"/>
      </w:rPr>
      <w:start w:val="0"/>
      <w:suff w:val="tab"/>
    </w:lvl>
    <w:lvl w:ilvl="3">
      <w:isLgl w:val="false"/>
      <w:lvlJc w:val="left"/>
      <w:lvlText w:val="•"/>
      <w:numFmt w:val="bullet"/>
      <w:pPr>
        <w:pBdr/>
        <w:spacing/>
        <w:ind w:hanging="410" w:left="3326"/>
      </w:pPr>
      <w:rPr>
        <w:rFonts w:hint="default"/>
        <w:lang w:val="it-IT" w:eastAsia="en-US" w:bidi="ar-SA"/>
      </w:rPr>
      <w:start w:val="0"/>
      <w:suff w:val="tab"/>
    </w:lvl>
    <w:lvl w:ilvl="4">
      <w:isLgl w:val="false"/>
      <w:lvlJc w:val="left"/>
      <w:lvlText w:val="•"/>
      <w:numFmt w:val="bullet"/>
      <w:pPr>
        <w:pBdr/>
        <w:spacing/>
        <w:ind w:hanging="410" w:left="4268"/>
      </w:pPr>
      <w:rPr>
        <w:rFonts w:hint="default"/>
        <w:lang w:val="it-IT" w:eastAsia="en-US" w:bidi="ar-SA"/>
      </w:rPr>
      <w:start w:val="0"/>
      <w:suff w:val="tab"/>
    </w:lvl>
    <w:lvl w:ilvl="5">
      <w:isLgl w:val="false"/>
      <w:lvlJc w:val="left"/>
      <w:lvlText w:val="•"/>
      <w:numFmt w:val="bullet"/>
      <w:pPr>
        <w:pBdr/>
        <w:spacing/>
        <w:ind w:hanging="410" w:left="5211"/>
      </w:pPr>
      <w:rPr>
        <w:rFonts w:hint="default"/>
        <w:lang w:val="it-IT" w:eastAsia="en-US" w:bidi="ar-SA"/>
      </w:rPr>
      <w:start w:val="0"/>
      <w:suff w:val="tab"/>
    </w:lvl>
    <w:lvl w:ilvl="6">
      <w:isLgl w:val="false"/>
      <w:lvlJc w:val="left"/>
      <w:lvlText w:val="•"/>
      <w:numFmt w:val="bullet"/>
      <w:pPr>
        <w:pBdr/>
        <w:spacing/>
        <w:ind w:hanging="410" w:left="6153"/>
      </w:pPr>
      <w:rPr>
        <w:rFonts w:hint="default"/>
        <w:lang w:val="it-IT" w:eastAsia="en-US" w:bidi="ar-SA"/>
      </w:rPr>
      <w:start w:val="0"/>
      <w:suff w:val="tab"/>
    </w:lvl>
    <w:lvl w:ilvl="7">
      <w:isLgl w:val="false"/>
      <w:lvlJc w:val="left"/>
      <w:lvlText w:val="•"/>
      <w:numFmt w:val="bullet"/>
      <w:pPr>
        <w:pBdr/>
        <w:spacing/>
        <w:ind w:hanging="410" w:left="7095"/>
      </w:pPr>
      <w:rPr>
        <w:rFonts w:hint="default"/>
        <w:lang w:val="it-IT" w:eastAsia="en-US" w:bidi="ar-SA"/>
      </w:rPr>
      <w:start w:val="0"/>
      <w:suff w:val="tab"/>
    </w:lvl>
    <w:lvl w:ilvl="8">
      <w:isLgl w:val="false"/>
      <w:lvlJc w:val="left"/>
      <w:lvlText w:val="•"/>
      <w:numFmt w:val="bullet"/>
      <w:pPr>
        <w:pBdr/>
        <w:spacing/>
        <w:ind w:hanging="410" w:left="8037"/>
      </w:pPr>
      <w:rPr>
        <w:rFonts w:hint="default"/>
        <w:lang w:val="it-IT" w:eastAsia="en-US" w:bidi="ar-SA"/>
      </w:rPr>
      <w:start w:val="0"/>
      <w:suff w:val="tab"/>
    </w:lvl>
  </w:abstractNum>
  <w:abstractNum w:abstractNumId="15">
    <w:lvl w:ilvl="0">
      <w:isLgl w:val="false"/>
      <w:lvlJc w:val="left"/>
      <w:lvlText w:val="%1."/>
      <w:numFmt w:val="decimal"/>
      <w:pPr>
        <w:pBdr/>
        <w:spacing/>
        <w:ind w:hanging="426" w:left="568"/>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2)"/>
      <w:numFmt w:val="lowerLetter"/>
      <w:pPr>
        <w:pBdr/>
        <w:spacing/>
        <w:ind w:hanging="360" w:left="862"/>
      </w:pPr>
      <w:rPr>
        <w:rFonts w:hint="default" w:ascii="Calibri" w:hAnsi="Calibri" w:eastAsia="Calibri" w:cs="Calibri"/>
        <w:b w:val="0"/>
        <w:bCs w:val="0"/>
        <w:i w:val="0"/>
        <w:iCs w:val="0"/>
        <w:spacing w:val="-1"/>
        <w:sz w:val="22"/>
        <w:szCs w:val="22"/>
        <w:lang w:val="it-IT" w:eastAsia="en-US" w:bidi="ar-SA"/>
      </w:rPr>
      <w:start w:val="1"/>
      <w:suff w:val="tab"/>
    </w:lvl>
    <w:lvl w:ilvl="2">
      <w:isLgl w:val="false"/>
      <w:lvlJc w:val="left"/>
      <w:lvlText w:val="•"/>
      <w:numFmt w:val="bullet"/>
      <w:pPr>
        <w:pBdr/>
        <w:spacing/>
        <w:ind w:hanging="360" w:left="1866"/>
      </w:pPr>
      <w:rPr>
        <w:rFonts w:hint="default"/>
        <w:lang w:val="it-IT" w:eastAsia="en-US" w:bidi="ar-SA"/>
      </w:rPr>
      <w:start w:val="0"/>
      <w:suff w:val="tab"/>
    </w:lvl>
    <w:lvl w:ilvl="3">
      <w:isLgl w:val="false"/>
      <w:lvlJc w:val="left"/>
      <w:lvlText w:val="•"/>
      <w:numFmt w:val="bullet"/>
      <w:pPr>
        <w:pBdr/>
        <w:spacing/>
        <w:ind w:hanging="360" w:left="2873"/>
      </w:pPr>
      <w:rPr>
        <w:rFonts w:hint="default"/>
        <w:lang w:val="it-IT" w:eastAsia="en-US" w:bidi="ar-SA"/>
      </w:rPr>
      <w:start w:val="0"/>
      <w:suff w:val="tab"/>
    </w:lvl>
    <w:lvl w:ilvl="4">
      <w:isLgl w:val="false"/>
      <w:lvlJc w:val="left"/>
      <w:lvlText w:val="•"/>
      <w:numFmt w:val="bullet"/>
      <w:pPr>
        <w:pBdr/>
        <w:spacing/>
        <w:ind w:hanging="360" w:left="3880"/>
      </w:pPr>
      <w:rPr>
        <w:rFonts w:hint="default"/>
        <w:lang w:val="it-IT" w:eastAsia="en-US" w:bidi="ar-SA"/>
      </w:rPr>
      <w:start w:val="0"/>
      <w:suff w:val="tab"/>
    </w:lvl>
    <w:lvl w:ilvl="5">
      <w:isLgl w:val="false"/>
      <w:lvlJc w:val="left"/>
      <w:lvlText w:val="•"/>
      <w:numFmt w:val="bullet"/>
      <w:pPr>
        <w:pBdr/>
        <w:spacing/>
        <w:ind w:hanging="360" w:left="4887"/>
      </w:pPr>
      <w:rPr>
        <w:rFonts w:hint="default"/>
        <w:lang w:val="it-IT" w:eastAsia="en-US" w:bidi="ar-SA"/>
      </w:rPr>
      <w:start w:val="0"/>
      <w:suff w:val="tab"/>
    </w:lvl>
    <w:lvl w:ilvl="6">
      <w:isLgl w:val="false"/>
      <w:lvlJc w:val="left"/>
      <w:lvlText w:val="•"/>
      <w:numFmt w:val="bullet"/>
      <w:pPr>
        <w:pBdr/>
        <w:spacing/>
        <w:ind w:hanging="360" w:left="5894"/>
      </w:pPr>
      <w:rPr>
        <w:rFonts w:hint="default"/>
        <w:lang w:val="it-IT" w:eastAsia="en-US" w:bidi="ar-SA"/>
      </w:rPr>
      <w:start w:val="0"/>
      <w:suff w:val="tab"/>
    </w:lvl>
    <w:lvl w:ilvl="7">
      <w:isLgl w:val="false"/>
      <w:lvlJc w:val="left"/>
      <w:lvlText w:val="•"/>
      <w:numFmt w:val="bullet"/>
      <w:pPr>
        <w:pBdr/>
        <w:spacing/>
        <w:ind w:hanging="360" w:left="6901"/>
      </w:pPr>
      <w:rPr>
        <w:rFonts w:hint="default"/>
        <w:lang w:val="it-IT" w:eastAsia="en-US" w:bidi="ar-SA"/>
      </w:rPr>
      <w:start w:val="0"/>
      <w:suff w:val="tab"/>
    </w:lvl>
    <w:lvl w:ilvl="8">
      <w:isLgl w:val="false"/>
      <w:lvlJc w:val="left"/>
      <w:lvlText w:val="•"/>
      <w:numFmt w:val="bullet"/>
      <w:pPr>
        <w:pBdr/>
        <w:spacing/>
        <w:ind w:hanging="360" w:left="7908"/>
      </w:pPr>
      <w:rPr>
        <w:rFonts w:hint="default"/>
        <w:lang w:val="it-IT" w:eastAsia="en-US" w:bidi="ar-SA"/>
      </w:rPr>
      <w:start w:val="0"/>
      <w:suff w:val="tab"/>
    </w:lvl>
  </w:abstractNum>
  <w:abstractNum w:abstractNumId="16">
    <w:lvl w:ilvl="0">
      <w:isLgl w:val="false"/>
      <w:lvlJc w:val="left"/>
      <w:lvlText w:val="-"/>
      <w:numFmt w:val="bullet"/>
      <w:pPr>
        <w:pBdr/>
        <w:spacing/>
        <w:ind w:hanging="360" w:left="720"/>
      </w:pPr>
      <w:rPr>
        <w:rFonts w:ascii="Cambria" w:hAnsi="Cambria" w:eastAsia="Times New Roman"/>
      </w:rPr>
      <w:start w:val="14"/>
      <w:suff w:val="tab"/>
    </w:lvl>
    <w:lvl w:ilvl="1">
      <w:isLgl w:val="false"/>
      <w:lvlJc w:val="left"/>
      <w:lvlText w:val="o"/>
      <w:numFmt w:val="bullet"/>
      <w:pPr>
        <w:pBdr/>
        <w:spacing/>
        <w:ind w:hanging="360" w:left="1440"/>
      </w:pPr>
      <w:rPr>
        <w:rFonts w:ascii="Courier New" w:hAnsi="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17">
    <w:lvl w:ilvl="0">
      <w:isLgl w:val="false"/>
      <w:lvlJc w:val="left"/>
      <w:lvlText w:val="%1."/>
      <w:numFmt w:val="decimal"/>
      <w:pPr>
        <w:pBdr/>
        <w:spacing/>
        <w:ind w:hanging="708" w:left="142"/>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360" w:left="862"/>
      </w:pPr>
      <w:rPr>
        <w:rFonts w:hint="default" w:ascii="Symbol" w:hAnsi="Symbol" w:eastAsia="Symbol" w:cs="Symbol"/>
        <w:b w:val="0"/>
        <w:bCs w:val="0"/>
        <w:i w:val="0"/>
        <w:iCs w:val="0"/>
        <w:spacing w:val="0"/>
        <w:sz w:val="22"/>
        <w:szCs w:val="22"/>
        <w:lang w:val="it-IT" w:eastAsia="en-US" w:bidi="ar-SA"/>
      </w:rPr>
      <w:start w:val="0"/>
      <w:suff w:val="tab"/>
    </w:lvl>
    <w:lvl w:ilvl="2">
      <w:isLgl w:val="false"/>
      <w:lvlJc w:val="left"/>
      <w:lvlText w:val="•"/>
      <w:numFmt w:val="bullet"/>
      <w:pPr>
        <w:pBdr/>
        <w:spacing/>
        <w:ind w:hanging="360" w:left="1866"/>
      </w:pPr>
      <w:rPr>
        <w:rFonts w:hint="default"/>
        <w:lang w:val="it-IT" w:eastAsia="en-US" w:bidi="ar-SA"/>
      </w:rPr>
      <w:start w:val="0"/>
      <w:suff w:val="tab"/>
    </w:lvl>
    <w:lvl w:ilvl="3">
      <w:isLgl w:val="false"/>
      <w:lvlJc w:val="left"/>
      <w:lvlText w:val="•"/>
      <w:numFmt w:val="bullet"/>
      <w:pPr>
        <w:pBdr/>
        <w:spacing/>
        <w:ind w:hanging="360" w:left="2873"/>
      </w:pPr>
      <w:rPr>
        <w:rFonts w:hint="default"/>
        <w:lang w:val="it-IT" w:eastAsia="en-US" w:bidi="ar-SA"/>
      </w:rPr>
      <w:start w:val="0"/>
      <w:suff w:val="tab"/>
    </w:lvl>
    <w:lvl w:ilvl="4">
      <w:isLgl w:val="false"/>
      <w:lvlJc w:val="left"/>
      <w:lvlText w:val="•"/>
      <w:numFmt w:val="bullet"/>
      <w:pPr>
        <w:pBdr/>
        <w:spacing/>
        <w:ind w:hanging="360" w:left="3880"/>
      </w:pPr>
      <w:rPr>
        <w:rFonts w:hint="default"/>
        <w:lang w:val="it-IT" w:eastAsia="en-US" w:bidi="ar-SA"/>
      </w:rPr>
      <w:start w:val="0"/>
      <w:suff w:val="tab"/>
    </w:lvl>
    <w:lvl w:ilvl="5">
      <w:isLgl w:val="false"/>
      <w:lvlJc w:val="left"/>
      <w:lvlText w:val="•"/>
      <w:numFmt w:val="bullet"/>
      <w:pPr>
        <w:pBdr/>
        <w:spacing/>
        <w:ind w:hanging="360" w:left="4887"/>
      </w:pPr>
      <w:rPr>
        <w:rFonts w:hint="default"/>
        <w:lang w:val="it-IT" w:eastAsia="en-US" w:bidi="ar-SA"/>
      </w:rPr>
      <w:start w:val="0"/>
      <w:suff w:val="tab"/>
    </w:lvl>
    <w:lvl w:ilvl="6">
      <w:isLgl w:val="false"/>
      <w:lvlJc w:val="left"/>
      <w:lvlText w:val="•"/>
      <w:numFmt w:val="bullet"/>
      <w:pPr>
        <w:pBdr/>
        <w:spacing/>
        <w:ind w:hanging="360" w:left="5894"/>
      </w:pPr>
      <w:rPr>
        <w:rFonts w:hint="default"/>
        <w:lang w:val="it-IT" w:eastAsia="en-US" w:bidi="ar-SA"/>
      </w:rPr>
      <w:start w:val="0"/>
      <w:suff w:val="tab"/>
    </w:lvl>
    <w:lvl w:ilvl="7">
      <w:isLgl w:val="false"/>
      <w:lvlJc w:val="left"/>
      <w:lvlText w:val="•"/>
      <w:numFmt w:val="bullet"/>
      <w:pPr>
        <w:pBdr/>
        <w:spacing/>
        <w:ind w:hanging="360" w:left="6901"/>
      </w:pPr>
      <w:rPr>
        <w:rFonts w:hint="default"/>
        <w:lang w:val="it-IT" w:eastAsia="en-US" w:bidi="ar-SA"/>
      </w:rPr>
      <w:start w:val="0"/>
      <w:suff w:val="tab"/>
    </w:lvl>
    <w:lvl w:ilvl="8">
      <w:isLgl w:val="false"/>
      <w:lvlJc w:val="left"/>
      <w:lvlText w:val="•"/>
      <w:numFmt w:val="bullet"/>
      <w:pPr>
        <w:pBdr/>
        <w:spacing/>
        <w:ind w:hanging="360" w:left="7908"/>
      </w:pPr>
      <w:rPr>
        <w:rFonts w:hint="default"/>
        <w:lang w:val="it-IT" w:eastAsia="en-US" w:bidi="ar-SA"/>
      </w:rPr>
      <w:start w:val="0"/>
      <w:suff w:val="tab"/>
    </w:lvl>
  </w:abstractNum>
  <w:abstractNum w:abstractNumId="18">
    <w:lvl w:ilvl="0">
      <w:isLgl w:val="false"/>
      <w:lvlJc w:val="left"/>
      <w:lvlText w:val="%1."/>
      <w:numFmt w:val="decimal"/>
      <w:pPr>
        <w:pBdr/>
        <w:spacing/>
        <w:ind w:hanging="708" w:left="142"/>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708" w:left="1118"/>
      </w:pPr>
      <w:rPr>
        <w:rFonts w:hint="default"/>
        <w:lang w:val="it-IT" w:eastAsia="en-US" w:bidi="ar-SA"/>
      </w:rPr>
      <w:start w:val="0"/>
      <w:suff w:val="tab"/>
    </w:lvl>
    <w:lvl w:ilvl="2">
      <w:isLgl w:val="false"/>
      <w:lvlJc w:val="left"/>
      <w:lvlText w:val="•"/>
      <w:numFmt w:val="bullet"/>
      <w:pPr>
        <w:pBdr/>
        <w:spacing/>
        <w:ind w:hanging="708" w:left="2096"/>
      </w:pPr>
      <w:rPr>
        <w:rFonts w:hint="default"/>
        <w:lang w:val="it-IT" w:eastAsia="en-US" w:bidi="ar-SA"/>
      </w:rPr>
      <w:start w:val="0"/>
      <w:suff w:val="tab"/>
    </w:lvl>
    <w:lvl w:ilvl="3">
      <w:isLgl w:val="false"/>
      <w:lvlJc w:val="left"/>
      <w:lvlText w:val="•"/>
      <w:numFmt w:val="bullet"/>
      <w:pPr>
        <w:pBdr/>
        <w:spacing/>
        <w:ind w:hanging="708" w:left="3074"/>
      </w:pPr>
      <w:rPr>
        <w:rFonts w:hint="default"/>
        <w:lang w:val="it-IT" w:eastAsia="en-US" w:bidi="ar-SA"/>
      </w:rPr>
      <w:start w:val="0"/>
      <w:suff w:val="tab"/>
    </w:lvl>
    <w:lvl w:ilvl="4">
      <w:isLgl w:val="false"/>
      <w:lvlJc w:val="left"/>
      <w:lvlText w:val="•"/>
      <w:numFmt w:val="bullet"/>
      <w:pPr>
        <w:pBdr/>
        <w:spacing/>
        <w:ind w:hanging="708" w:left="4052"/>
      </w:pPr>
      <w:rPr>
        <w:rFonts w:hint="default"/>
        <w:lang w:val="it-IT" w:eastAsia="en-US" w:bidi="ar-SA"/>
      </w:rPr>
      <w:start w:val="0"/>
      <w:suff w:val="tab"/>
    </w:lvl>
    <w:lvl w:ilvl="5">
      <w:isLgl w:val="false"/>
      <w:lvlJc w:val="left"/>
      <w:lvlText w:val="•"/>
      <w:numFmt w:val="bullet"/>
      <w:pPr>
        <w:pBdr/>
        <w:spacing/>
        <w:ind w:hanging="708" w:left="5031"/>
      </w:pPr>
      <w:rPr>
        <w:rFonts w:hint="default"/>
        <w:lang w:val="it-IT" w:eastAsia="en-US" w:bidi="ar-SA"/>
      </w:rPr>
      <w:start w:val="0"/>
      <w:suff w:val="tab"/>
    </w:lvl>
    <w:lvl w:ilvl="6">
      <w:isLgl w:val="false"/>
      <w:lvlJc w:val="left"/>
      <w:lvlText w:val="•"/>
      <w:numFmt w:val="bullet"/>
      <w:pPr>
        <w:pBdr/>
        <w:spacing/>
        <w:ind w:hanging="708" w:left="6009"/>
      </w:pPr>
      <w:rPr>
        <w:rFonts w:hint="default"/>
        <w:lang w:val="it-IT" w:eastAsia="en-US" w:bidi="ar-SA"/>
      </w:rPr>
      <w:start w:val="0"/>
      <w:suff w:val="tab"/>
    </w:lvl>
    <w:lvl w:ilvl="7">
      <w:isLgl w:val="false"/>
      <w:lvlJc w:val="left"/>
      <w:lvlText w:val="•"/>
      <w:numFmt w:val="bullet"/>
      <w:pPr>
        <w:pBdr/>
        <w:spacing/>
        <w:ind w:hanging="708" w:left="6987"/>
      </w:pPr>
      <w:rPr>
        <w:rFonts w:hint="default"/>
        <w:lang w:val="it-IT" w:eastAsia="en-US" w:bidi="ar-SA"/>
      </w:rPr>
      <w:start w:val="0"/>
      <w:suff w:val="tab"/>
    </w:lvl>
    <w:lvl w:ilvl="8">
      <w:isLgl w:val="false"/>
      <w:lvlJc w:val="left"/>
      <w:lvlText w:val="•"/>
      <w:numFmt w:val="bullet"/>
      <w:pPr>
        <w:pBdr/>
        <w:spacing/>
        <w:ind w:hanging="708" w:left="7965"/>
      </w:pPr>
      <w:rPr>
        <w:rFonts w:hint="default"/>
        <w:lang w:val="it-IT" w:eastAsia="en-US" w:bidi="ar-SA"/>
      </w:rPr>
      <w:start w:val="0"/>
      <w:suff w:val="tab"/>
    </w:lvl>
  </w:abstractNum>
  <w:abstractNum w:abstractNumId="19">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0">
    <w:lvl w:ilvl="0">
      <w:isLgl w:val="false"/>
      <w:lvlJc w:val="left"/>
      <w:lvlText w:val="%1."/>
      <w:numFmt w:val="decimal"/>
      <w:pPr>
        <w:pBdr/>
        <w:spacing/>
        <w:ind w:hanging="708" w:left="142"/>
      </w:pPr>
      <w:rPr>
        <w:rFonts w:hint="default" w:ascii="Calibri" w:hAnsi="Calibri" w:eastAsia="Calibri" w:cs="Calibri"/>
        <w:b w:val="0"/>
        <w:bCs w:val="0"/>
        <w:i w:val="0"/>
        <w:iCs w:val="0"/>
        <w:spacing w:val="-1"/>
        <w:sz w:val="22"/>
        <w:szCs w:val="22"/>
        <w:lang w:val="it-IT" w:eastAsia="en-US" w:bidi="ar-SA"/>
      </w:rPr>
      <w:start w:val="2"/>
      <w:suff w:val="tab"/>
    </w:lvl>
    <w:lvl w:ilvl="1">
      <w:isLgl w:val="false"/>
      <w:lvlJc w:val="left"/>
      <w:lvlText w:val=""/>
      <w:numFmt w:val="bullet"/>
      <w:pPr>
        <w:pBdr/>
        <w:spacing/>
        <w:ind w:hanging="360" w:left="862"/>
      </w:pPr>
      <w:rPr>
        <w:rFonts w:hint="default" w:ascii="Symbol" w:hAnsi="Symbol" w:eastAsia="Symbol" w:cs="Symbol"/>
        <w:b w:val="0"/>
        <w:bCs w:val="0"/>
        <w:i w:val="0"/>
        <w:iCs w:val="0"/>
        <w:spacing w:val="0"/>
        <w:sz w:val="22"/>
        <w:szCs w:val="22"/>
        <w:lang w:val="it-IT" w:eastAsia="en-US" w:bidi="ar-SA"/>
      </w:rPr>
      <w:start w:val="0"/>
      <w:suff w:val="tab"/>
    </w:lvl>
    <w:lvl w:ilvl="2">
      <w:isLgl w:val="false"/>
      <w:lvlJc w:val="left"/>
      <w:lvlText w:val="•"/>
      <w:numFmt w:val="bullet"/>
      <w:pPr>
        <w:pBdr/>
        <w:spacing/>
        <w:ind w:hanging="360" w:left="1866"/>
      </w:pPr>
      <w:rPr>
        <w:rFonts w:hint="default"/>
        <w:lang w:val="it-IT" w:eastAsia="en-US" w:bidi="ar-SA"/>
      </w:rPr>
      <w:start w:val="0"/>
      <w:suff w:val="tab"/>
    </w:lvl>
    <w:lvl w:ilvl="3">
      <w:isLgl w:val="false"/>
      <w:lvlJc w:val="left"/>
      <w:lvlText w:val="•"/>
      <w:numFmt w:val="bullet"/>
      <w:pPr>
        <w:pBdr/>
        <w:spacing/>
        <w:ind w:hanging="360" w:left="2873"/>
      </w:pPr>
      <w:rPr>
        <w:rFonts w:hint="default"/>
        <w:lang w:val="it-IT" w:eastAsia="en-US" w:bidi="ar-SA"/>
      </w:rPr>
      <w:start w:val="0"/>
      <w:suff w:val="tab"/>
    </w:lvl>
    <w:lvl w:ilvl="4">
      <w:isLgl w:val="false"/>
      <w:lvlJc w:val="left"/>
      <w:lvlText w:val="•"/>
      <w:numFmt w:val="bullet"/>
      <w:pPr>
        <w:pBdr/>
        <w:spacing/>
        <w:ind w:hanging="360" w:left="3880"/>
      </w:pPr>
      <w:rPr>
        <w:rFonts w:hint="default"/>
        <w:lang w:val="it-IT" w:eastAsia="en-US" w:bidi="ar-SA"/>
      </w:rPr>
      <w:start w:val="0"/>
      <w:suff w:val="tab"/>
    </w:lvl>
    <w:lvl w:ilvl="5">
      <w:isLgl w:val="false"/>
      <w:lvlJc w:val="left"/>
      <w:lvlText w:val="•"/>
      <w:numFmt w:val="bullet"/>
      <w:pPr>
        <w:pBdr/>
        <w:spacing/>
        <w:ind w:hanging="360" w:left="4887"/>
      </w:pPr>
      <w:rPr>
        <w:rFonts w:hint="default"/>
        <w:lang w:val="it-IT" w:eastAsia="en-US" w:bidi="ar-SA"/>
      </w:rPr>
      <w:start w:val="0"/>
      <w:suff w:val="tab"/>
    </w:lvl>
    <w:lvl w:ilvl="6">
      <w:isLgl w:val="false"/>
      <w:lvlJc w:val="left"/>
      <w:lvlText w:val="•"/>
      <w:numFmt w:val="bullet"/>
      <w:pPr>
        <w:pBdr/>
        <w:spacing/>
        <w:ind w:hanging="360" w:left="5894"/>
      </w:pPr>
      <w:rPr>
        <w:rFonts w:hint="default"/>
        <w:lang w:val="it-IT" w:eastAsia="en-US" w:bidi="ar-SA"/>
      </w:rPr>
      <w:start w:val="0"/>
      <w:suff w:val="tab"/>
    </w:lvl>
    <w:lvl w:ilvl="7">
      <w:isLgl w:val="false"/>
      <w:lvlJc w:val="left"/>
      <w:lvlText w:val="•"/>
      <w:numFmt w:val="bullet"/>
      <w:pPr>
        <w:pBdr/>
        <w:spacing/>
        <w:ind w:hanging="360" w:left="6901"/>
      </w:pPr>
      <w:rPr>
        <w:rFonts w:hint="default"/>
        <w:lang w:val="it-IT" w:eastAsia="en-US" w:bidi="ar-SA"/>
      </w:rPr>
      <w:start w:val="0"/>
      <w:suff w:val="tab"/>
    </w:lvl>
    <w:lvl w:ilvl="8">
      <w:isLgl w:val="false"/>
      <w:lvlJc w:val="left"/>
      <w:lvlText w:val="•"/>
      <w:numFmt w:val="bullet"/>
      <w:pPr>
        <w:pBdr/>
        <w:spacing/>
        <w:ind w:hanging="360" w:left="7908"/>
      </w:pPr>
      <w:rPr>
        <w:rFonts w:hint="default"/>
        <w:lang w:val="it-IT" w:eastAsia="en-US" w:bidi="ar-SA"/>
      </w:rPr>
      <w:start w:val="0"/>
      <w:suff w:val="tab"/>
    </w:lvl>
  </w:abstractNum>
  <w:abstractNum w:abstractNumId="21">
    <w:lvl w:ilvl="0">
      <w:isLgl w:val="false"/>
      <w:lvlJc w:val="left"/>
      <w:lvlText w:val="%1."/>
      <w:numFmt w:val="decimal"/>
      <w:pPr>
        <w:pBdr/>
        <w:spacing/>
        <w:ind w:hanging="708" w:left="142"/>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708" w:left="1118"/>
      </w:pPr>
      <w:rPr>
        <w:rFonts w:hint="default"/>
        <w:lang w:val="it-IT" w:eastAsia="en-US" w:bidi="ar-SA"/>
      </w:rPr>
      <w:start w:val="0"/>
      <w:suff w:val="tab"/>
    </w:lvl>
    <w:lvl w:ilvl="2">
      <w:isLgl w:val="false"/>
      <w:lvlJc w:val="left"/>
      <w:lvlText w:val="•"/>
      <w:numFmt w:val="bullet"/>
      <w:pPr>
        <w:pBdr/>
        <w:spacing/>
        <w:ind w:hanging="708" w:left="2096"/>
      </w:pPr>
      <w:rPr>
        <w:rFonts w:hint="default"/>
        <w:lang w:val="it-IT" w:eastAsia="en-US" w:bidi="ar-SA"/>
      </w:rPr>
      <w:start w:val="0"/>
      <w:suff w:val="tab"/>
    </w:lvl>
    <w:lvl w:ilvl="3">
      <w:isLgl w:val="false"/>
      <w:lvlJc w:val="left"/>
      <w:lvlText w:val="•"/>
      <w:numFmt w:val="bullet"/>
      <w:pPr>
        <w:pBdr/>
        <w:spacing/>
        <w:ind w:hanging="708" w:left="3074"/>
      </w:pPr>
      <w:rPr>
        <w:rFonts w:hint="default"/>
        <w:lang w:val="it-IT" w:eastAsia="en-US" w:bidi="ar-SA"/>
      </w:rPr>
      <w:start w:val="0"/>
      <w:suff w:val="tab"/>
    </w:lvl>
    <w:lvl w:ilvl="4">
      <w:isLgl w:val="false"/>
      <w:lvlJc w:val="left"/>
      <w:lvlText w:val="•"/>
      <w:numFmt w:val="bullet"/>
      <w:pPr>
        <w:pBdr/>
        <w:spacing/>
        <w:ind w:hanging="708" w:left="4052"/>
      </w:pPr>
      <w:rPr>
        <w:rFonts w:hint="default"/>
        <w:lang w:val="it-IT" w:eastAsia="en-US" w:bidi="ar-SA"/>
      </w:rPr>
      <w:start w:val="0"/>
      <w:suff w:val="tab"/>
    </w:lvl>
    <w:lvl w:ilvl="5">
      <w:isLgl w:val="false"/>
      <w:lvlJc w:val="left"/>
      <w:lvlText w:val="•"/>
      <w:numFmt w:val="bullet"/>
      <w:pPr>
        <w:pBdr/>
        <w:spacing/>
        <w:ind w:hanging="708" w:left="5031"/>
      </w:pPr>
      <w:rPr>
        <w:rFonts w:hint="default"/>
        <w:lang w:val="it-IT" w:eastAsia="en-US" w:bidi="ar-SA"/>
      </w:rPr>
      <w:start w:val="0"/>
      <w:suff w:val="tab"/>
    </w:lvl>
    <w:lvl w:ilvl="6">
      <w:isLgl w:val="false"/>
      <w:lvlJc w:val="left"/>
      <w:lvlText w:val="•"/>
      <w:numFmt w:val="bullet"/>
      <w:pPr>
        <w:pBdr/>
        <w:spacing/>
        <w:ind w:hanging="708" w:left="6009"/>
      </w:pPr>
      <w:rPr>
        <w:rFonts w:hint="default"/>
        <w:lang w:val="it-IT" w:eastAsia="en-US" w:bidi="ar-SA"/>
      </w:rPr>
      <w:start w:val="0"/>
      <w:suff w:val="tab"/>
    </w:lvl>
    <w:lvl w:ilvl="7">
      <w:isLgl w:val="false"/>
      <w:lvlJc w:val="left"/>
      <w:lvlText w:val="•"/>
      <w:numFmt w:val="bullet"/>
      <w:pPr>
        <w:pBdr/>
        <w:spacing/>
        <w:ind w:hanging="708" w:left="6987"/>
      </w:pPr>
      <w:rPr>
        <w:rFonts w:hint="default"/>
        <w:lang w:val="it-IT" w:eastAsia="en-US" w:bidi="ar-SA"/>
      </w:rPr>
      <w:start w:val="0"/>
      <w:suff w:val="tab"/>
    </w:lvl>
    <w:lvl w:ilvl="8">
      <w:isLgl w:val="false"/>
      <w:lvlJc w:val="left"/>
      <w:lvlText w:val="•"/>
      <w:numFmt w:val="bullet"/>
      <w:pPr>
        <w:pBdr/>
        <w:spacing/>
        <w:ind w:hanging="708" w:left="7965"/>
      </w:pPr>
      <w:rPr>
        <w:rFonts w:hint="default"/>
        <w:lang w:val="it-IT" w:eastAsia="en-US" w:bidi="ar-SA"/>
      </w:rPr>
      <w:start w:val="0"/>
      <w:suff w:val="tab"/>
    </w:lvl>
  </w:abstractNum>
  <w:num w:numId="1">
    <w:abstractNumId w:val="5"/>
  </w:num>
  <w:num w:numId="2">
    <w:abstractNumId w:val="11"/>
  </w:num>
  <w:num w:numId="3">
    <w:abstractNumId w:val="2"/>
  </w:num>
  <w:num w:numId="4">
    <w:abstractNumId w:val="20"/>
  </w:num>
  <w:num w:numId="5">
    <w:abstractNumId w:val="4"/>
  </w:num>
  <w:num w:numId="6">
    <w:abstractNumId w:val="9"/>
  </w:num>
  <w:num w:numId="7">
    <w:abstractNumId w:val="18"/>
  </w:num>
  <w:num w:numId="8">
    <w:abstractNumId w:val="21"/>
  </w:num>
  <w:num w:numId="9">
    <w:abstractNumId w:val="17"/>
  </w:num>
  <w:num w:numId="10">
    <w:abstractNumId w:val="3"/>
  </w:num>
  <w:num w:numId="11">
    <w:abstractNumId w:val="10"/>
  </w:num>
  <w:num w:numId="12">
    <w:abstractNumId w:val="0"/>
  </w:num>
  <w:num w:numId="13">
    <w:abstractNumId w:val="7"/>
  </w:num>
  <w:num w:numId="14">
    <w:abstractNumId w:val="8"/>
  </w:num>
  <w:num w:numId="15">
    <w:abstractNumId w:val="13"/>
  </w:num>
  <w:num w:numId="16">
    <w:abstractNumId w:val="6"/>
  </w:num>
  <w:num w:numId="17">
    <w:abstractNumId w:val="15"/>
  </w:num>
  <w:num w:numId="18">
    <w:abstractNumId w:val="14"/>
  </w:num>
  <w:num w:numId="19">
    <w:abstractNumId w:val="1"/>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283"/>
  <w:evenAndOddHeaders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lTrailSpace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widowControl w:val="false"/>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92" w:default="1">
    <w:name w:val="Normal"/>
    <w:uiPriority w:val="1"/>
    <w:qFormat/>
    <w:pPr>
      <w:pBdr/>
      <w:spacing/>
      <w:ind/>
    </w:pPr>
    <w:rPr>
      <w:rFonts w:ascii="Calibri" w:hAnsi="Calibri" w:eastAsia="Calibri" w:cs="Calibri"/>
      <w:lang w:val="it-IT"/>
    </w:rPr>
  </w:style>
  <w:style w:type="paragraph" w:styleId="793">
    <w:name w:val="Heading 1"/>
    <w:basedOn w:val="792"/>
    <w:link w:val="928"/>
    <w:uiPriority w:val="1"/>
    <w:qFormat/>
    <w:pPr>
      <w:pBdr/>
      <w:spacing/>
      <w:ind w:left="-1"/>
      <w:jc w:val="center"/>
      <w:outlineLvl w:val="0"/>
    </w:pPr>
    <w:rPr>
      <w:b/>
      <w:bCs/>
    </w:rPr>
  </w:style>
  <w:style w:type="paragraph" w:styleId="794">
    <w:name w:val="Heading 2"/>
    <w:basedOn w:val="792"/>
    <w:link w:val="929"/>
    <w:uiPriority w:val="1"/>
    <w:qFormat/>
    <w:pPr>
      <w:pBdr/>
      <w:spacing/>
      <w:ind w:left="1131"/>
      <w:outlineLvl w:val="1"/>
    </w:pPr>
    <w:rPr>
      <w:b/>
      <w:bCs/>
    </w:rPr>
  </w:style>
  <w:style w:type="paragraph" w:styleId="795">
    <w:name w:val="Heading 3"/>
    <w:basedOn w:val="792"/>
    <w:next w:val="792"/>
    <w:link w:val="950"/>
    <w:uiPriority w:val="9"/>
    <w:unhideWhenUsed/>
    <w:qFormat/>
    <w:pPr>
      <w:keepNext w:val="true"/>
      <w:keepLines w:val="true"/>
      <w:pBdr/>
      <w:spacing w:after="80" w:before="160"/>
      <w:ind/>
      <w:outlineLvl w:val="2"/>
    </w:pPr>
    <w:rPr>
      <w:rFonts w:ascii="Arial" w:hAnsi="Arial" w:eastAsia="Arial" w:cs="Arial"/>
      <w:color w:val="365f91" w:themeColor="accent1" w:themeShade="BF"/>
      <w:sz w:val="28"/>
      <w:szCs w:val="28"/>
    </w:rPr>
  </w:style>
  <w:style w:type="paragraph" w:styleId="796">
    <w:name w:val="Heading 4"/>
    <w:basedOn w:val="792"/>
    <w:next w:val="792"/>
    <w:link w:val="951"/>
    <w:uiPriority w:val="9"/>
    <w:unhideWhenUsed/>
    <w:qFormat/>
    <w:pPr>
      <w:keepNext w:val="true"/>
      <w:keepLines w:val="true"/>
      <w:pBdr/>
      <w:spacing w:after="40" w:before="80"/>
      <w:ind/>
      <w:outlineLvl w:val="3"/>
    </w:pPr>
    <w:rPr>
      <w:rFonts w:ascii="Arial" w:hAnsi="Arial" w:eastAsia="Arial" w:cs="Arial"/>
      <w:i/>
      <w:iCs/>
      <w:color w:val="365f91" w:themeColor="accent1" w:themeShade="BF"/>
    </w:rPr>
  </w:style>
  <w:style w:type="paragraph" w:styleId="797">
    <w:name w:val="Heading 5"/>
    <w:basedOn w:val="792"/>
    <w:next w:val="792"/>
    <w:link w:val="952"/>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798">
    <w:name w:val="Heading 6"/>
    <w:basedOn w:val="792"/>
    <w:next w:val="792"/>
    <w:link w:val="953"/>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799">
    <w:name w:val="Heading 7"/>
    <w:basedOn w:val="792"/>
    <w:next w:val="792"/>
    <w:link w:val="954"/>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800">
    <w:name w:val="Heading 8"/>
    <w:basedOn w:val="792"/>
    <w:next w:val="792"/>
    <w:link w:val="955"/>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801">
    <w:name w:val="Heading 9"/>
    <w:basedOn w:val="792"/>
    <w:next w:val="792"/>
    <w:link w:val="956"/>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802" w:default="1">
    <w:name w:val="Default Paragraph Font"/>
    <w:uiPriority w:val="1"/>
    <w:unhideWhenUsed/>
    <w:pPr>
      <w:pBdr/>
      <w:spacing/>
      <w:ind/>
    </w:pPr>
  </w:style>
  <w:style w:type="table" w:styleId="803"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4" w:default="1">
    <w:name w:val="No List"/>
    <w:uiPriority w:val="99"/>
    <w:semiHidden/>
    <w:unhideWhenUsed/>
    <w:pPr>
      <w:pBdr/>
      <w:spacing/>
      <w:ind/>
    </w:pPr>
  </w:style>
  <w:style w:type="character" w:styleId="805" w:customStyle="1">
    <w:name w:val="Heading 1 Char"/>
    <w:basedOn w:val="802"/>
    <w:uiPriority w:val="9"/>
    <w:pPr>
      <w:pBdr/>
      <w:spacing/>
      <w:ind/>
    </w:pPr>
    <w:rPr>
      <w:rFonts w:ascii="Arial" w:hAnsi="Arial" w:eastAsia="Arial" w:cs="Arial"/>
      <w:color w:val="365f91" w:themeColor="accent1" w:themeShade="BF"/>
      <w:sz w:val="40"/>
      <w:szCs w:val="40"/>
    </w:rPr>
  </w:style>
  <w:style w:type="character" w:styleId="806" w:customStyle="1">
    <w:name w:val="Heading 2 Char"/>
    <w:basedOn w:val="802"/>
    <w:uiPriority w:val="9"/>
    <w:pPr>
      <w:pBdr/>
      <w:spacing/>
      <w:ind/>
    </w:pPr>
    <w:rPr>
      <w:rFonts w:ascii="Arial" w:hAnsi="Arial" w:eastAsia="Arial" w:cs="Arial"/>
      <w:color w:val="365f91" w:themeColor="accent1" w:themeShade="BF"/>
      <w:sz w:val="32"/>
      <w:szCs w:val="32"/>
    </w:rPr>
  </w:style>
  <w:style w:type="character" w:styleId="807" w:customStyle="1">
    <w:name w:val="Heading 3 Char"/>
    <w:basedOn w:val="802"/>
    <w:uiPriority w:val="9"/>
    <w:pPr>
      <w:pBdr/>
      <w:spacing/>
      <w:ind/>
    </w:pPr>
    <w:rPr>
      <w:rFonts w:ascii="Arial" w:hAnsi="Arial" w:eastAsia="Arial" w:cs="Arial"/>
      <w:color w:val="365f91" w:themeColor="accent1" w:themeShade="BF"/>
      <w:sz w:val="28"/>
      <w:szCs w:val="28"/>
    </w:rPr>
  </w:style>
  <w:style w:type="character" w:styleId="808" w:customStyle="1">
    <w:name w:val="Heading 4 Char"/>
    <w:basedOn w:val="802"/>
    <w:uiPriority w:val="9"/>
    <w:pPr>
      <w:pBdr/>
      <w:spacing/>
      <w:ind/>
    </w:pPr>
    <w:rPr>
      <w:rFonts w:ascii="Arial" w:hAnsi="Arial" w:eastAsia="Arial" w:cs="Arial"/>
      <w:i/>
      <w:iCs/>
      <w:color w:val="365f91" w:themeColor="accent1" w:themeShade="BF"/>
    </w:rPr>
  </w:style>
  <w:style w:type="character" w:styleId="809" w:customStyle="1">
    <w:name w:val="Heading 5 Char"/>
    <w:basedOn w:val="802"/>
    <w:uiPriority w:val="9"/>
    <w:pPr>
      <w:pBdr/>
      <w:spacing/>
      <w:ind/>
    </w:pPr>
    <w:rPr>
      <w:rFonts w:ascii="Arial" w:hAnsi="Arial" w:eastAsia="Arial" w:cs="Arial"/>
      <w:color w:val="365f91" w:themeColor="accent1" w:themeShade="BF"/>
    </w:rPr>
  </w:style>
  <w:style w:type="character" w:styleId="810" w:customStyle="1">
    <w:name w:val="Heading 6 Char"/>
    <w:basedOn w:val="802"/>
    <w:uiPriority w:val="9"/>
    <w:pPr>
      <w:pBdr/>
      <w:spacing/>
      <w:ind/>
    </w:pPr>
    <w:rPr>
      <w:rFonts w:ascii="Arial" w:hAnsi="Arial" w:eastAsia="Arial" w:cs="Arial"/>
      <w:i/>
      <w:iCs/>
      <w:color w:val="595959" w:themeColor="text1" w:themeTint="A6"/>
    </w:rPr>
  </w:style>
  <w:style w:type="character" w:styleId="811" w:customStyle="1">
    <w:name w:val="Heading 7 Char"/>
    <w:basedOn w:val="802"/>
    <w:uiPriority w:val="9"/>
    <w:pPr>
      <w:pBdr/>
      <w:spacing/>
      <w:ind/>
    </w:pPr>
    <w:rPr>
      <w:rFonts w:ascii="Arial" w:hAnsi="Arial" w:eastAsia="Arial" w:cs="Arial"/>
      <w:color w:val="595959" w:themeColor="text1" w:themeTint="A6"/>
    </w:rPr>
  </w:style>
  <w:style w:type="character" w:styleId="812" w:customStyle="1">
    <w:name w:val="Heading 8 Char"/>
    <w:basedOn w:val="802"/>
    <w:uiPriority w:val="9"/>
    <w:pPr>
      <w:pBdr/>
      <w:spacing/>
      <w:ind/>
    </w:pPr>
    <w:rPr>
      <w:rFonts w:ascii="Arial" w:hAnsi="Arial" w:eastAsia="Arial" w:cs="Arial"/>
      <w:i/>
      <w:iCs/>
      <w:color w:val="272727" w:themeColor="text1" w:themeTint="D8"/>
    </w:rPr>
  </w:style>
  <w:style w:type="character" w:styleId="813" w:customStyle="1">
    <w:name w:val="Heading 9 Char"/>
    <w:basedOn w:val="802"/>
    <w:uiPriority w:val="9"/>
    <w:pPr>
      <w:pBdr/>
      <w:spacing/>
      <w:ind/>
    </w:pPr>
    <w:rPr>
      <w:rFonts w:ascii="Arial" w:hAnsi="Arial" w:eastAsia="Arial" w:cs="Arial"/>
      <w:i/>
      <w:iCs/>
      <w:color w:val="272727" w:themeColor="text1" w:themeTint="D8"/>
    </w:rPr>
  </w:style>
  <w:style w:type="character" w:styleId="814" w:customStyle="1">
    <w:name w:val="Title Char"/>
    <w:basedOn w:val="802"/>
    <w:uiPriority w:val="10"/>
    <w:pPr>
      <w:pBdr/>
      <w:spacing/>
      <w:ind/>
    </w:pPr>
    <w:rPr>
      <w:rFonts w:ascii="Arial" w:hAnsi="Arial" w:eastAsia="Arial" w:cs="Arial"/>
      <w:spacing w:val="-10"/>
      <w:sz w:val="56"/>
      <w:szCs w:val="56"/>
    </w:rPr>
  </w:style>
  <w:style w:type="character" w:styleId="815" w:customStyle="1">
    <w:name w:val="Subtitle Char"/>
    <w:basedOn w:val="802"/>
    <w:uiPriority w:val="11"/>
    <w:pPr>
      <w:pBdr/>
      <w:spacing/>
      <w:ind/>
    </w:pPr>
    <w:rPr>
      <w:color w:val="595959" w:themeColor="text1" w:themeTint="A6"/>
      <w:spacing w:val="15"/>
      <w:sz w:val="28"/>
      <w:szCs w:val="28"/>
    </w:rPr>
  </w:style>
  <w:style w:type="character" w:styleId="816" w:customStyle="1">
    <w:name w:val="Quote Char"/>
    <w:basedOn w:val="802"/>
    <w:uiPriority w:val="29"/>
    <w:pPr>
      <w:pBdr/>
      <w:spacing/>
      <w:ind/>
    </w:pPr>
    <w:rPr>
      <w:i/>
      <w:iCs/>
      <w:color w:val="404040" w:themeColor="text1" w:themeTint="BF"/>
    </w:rPr>
  </w:style>
  <w:style w:type="character" w:styleId="817" w:customStyle="1">
    <w:name w:val="Intense Quote Char"/>
    <w:basedOn w:val="802"/>
    <w:uiPriority w:val="30"/>
    <w:pPr>
      <w:pBdr/>
      <w:spacing/>
      <w:ind/>
    </w:pPr>
    <w:rPr>
      <w:i/>
      <w:iCs/>
      <w:color w:val="365f91" w:themeColor="accent1" w:themeShade="BF"/>
    </w:rPr>
  </w:style>
  <w:style w:type="character" w:styleId="818" w:customStyle="1">
    <w:name w:val="Header Char"/>
    <w:basedOn w:val="802"/>
    <w:uiPriority w:val="99"/>
    <w:pPr>
      <w:pBdr/>
      <w:spacing/>
      <w:ind/>
    </w:pPr>
  </w:style>
  <w:style w:type="character" w:styleId="819" w:customStyle="1">
    <w:name w:val="Footer Char"/>
    <w:basedOn w:val="802"/>
    <w:uiPriority w:val="99"/>
    <w:pPr>
      <w:pBdr/>
      <w:spacing/>
      <w:ind/>
    </w:pPr>
  </w:style>
  <w:style w:type="character" w:styleId="820" w:customStyle="1">
    <w:name w:val="Footnote Text Char"/>
    <w:basedOn w:val="802"/>
    <w:uiPriority w:val="99"/>
    <w:semiHidden/>
    <w:pPr>
      <w:pBdr/>
      <w:spacing/>
      <w:ind/>
    </w:pPr>
    <w:rPr>
      <w:sz w:val="20"/>
      <w:szCs w:val="20"/>
    </w:rPr>
  </w:style>
  <w:style w:type="character" w:styleId="821" w:customStyle="1">
    <w:name w:val="Endnote Text Char"/>
    <w:basedOn w:val="802"/>
    <w:uiPriority w:val="99"/>
    <w:semiHidden/>
    <w:pPr>
      <w:pBdr/>
      <w:spacing/>
      <w:ind/>
    </w:pPr>
    <w:rPr>
      <w:sz w:val="20"/>
      <w:szCs w:val="20"/>
    </w:rPr>
  </w:style>
  <w:style w:type="table" w:styleId="822" w:customStyle="1">
    <w:name w:val="Table Grid Light"/>
    <w:basedOn w:val="803"/>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customStyle="1">
    <w:name w:val="Grid Table 1 Light - Accent 1"/>
    <w:basedOn w:val="803"/>
    <w:uiPriority w:val="99"/>
    <w:pPr>
      <w:pBdr/>
      <w:spacing/>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customStyle="1">
    <w:name w:val="Grid Table 1 Light - Accent 2"/>
    <w:basedOn w:val="803"/>
    <w:uiPriority w:val="99"/>
    <w:pPr>
      <w:pBdr/>
      <w:spacing/>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customStyle="1">
    <w:name w:val="Grid Table 1 Light - Accent 3"/>
    <w:basedOn w:val="803"/>
    <w:uiPriority w:val="99"/>
    <w:pPr>
      <w:pBdr/>
      <w:spacing/>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customStyle="1">
    <w:name w:val="Grid Table 1 Light - Accent 4"/>
    <w:basedOn w:val="803"/>
    <w:uiPriority w:val="99"/>
    <w:pPr>
      <w:pBdr/>
      <w:spacing/>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customStyle="1">
    <w:name w:val="Grid Table 1 Light - Accent 5"/>
    <w:basedOn w:val="803"/>
    <w:uiPriority w:val="99"/>
    <w:pPr>
      <w:pBdr/>
      <w:spacing/>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customStyle="1">
    <w:name w:val="Grid Table 1 Light - Accent 6"/>
    <w:basedOn w:val="803"/>
    <w:uiPriority w:val="99"/>
    <w:pPr>
      <w:pBdr/>
      <w:spacing/>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customStyle="1">
    <w:name w:val="Grid Table 2 - Accent 1"/>
    <w:basedOn w:val="803"/>
    <w:uiPriority w:val="99"/>
    <w:pPr>
      <w:pBdr/>
      <w:spacing/>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customStyle="1">
    <w:name w:val="Grid Table 2 - Accent 2"/>
    <w:basedOn w:val="803"/>
    <w:uiPriority w:val="99"/>
    <w:pPr>
      <w:pBdr/>
      <w:spacing/>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customStyle="1">
    <w:name w:val="Grid Table 2 - Accent 3"/>
    <w:basedOn w:val="803"/>
    <w:uiPriority w:val="99"/>
    <w:pPr>
      <w:pBdr/>
      <w:spacing/>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customStyle="1">
    <w:name w:val="Grid Table 2 - Accent 4"/>
    <w:basedOn w:val="803"/>
    <w:uiPriority w:val="99"/>
    <w:pPr>
      <w:pBdr/>
      <w:spacing/>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customStyle="1">
    <w:name w:val="Grid Table 2 - Accent 5"/>
    <w:basedOn w:val="803"/>
    <w:uiPriority w:val="99"/>
    <w:pPr>
      <w:pBdr/>
      <w:spacing/>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customStyle="1">
    <w:name w:val="Grid Table 2 - Accent 6"/>
    <w:basedOn w:val="803"/>
    <w:uiPriority w:val="99"/>
    <w:pPr>
      <w:pBdr/>
      <w:spacing/>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customStyle="1">
    <w:name w:val="Grid Table 3 - Accent 1"/>
    <w:basedOn w:val="803"/>
    <w:uiPriority w:val="99"/>
    <w:pPr>
      <w:pBdr/>
      <w:spacing/>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customStyle="1">
    <w:name w:val="Grid Table 3 - Accent 2"/>
    <w:basedOn w:val="803"/>
    <w:uiPriority w:val="99"/>
    <w:pPr>
      <w:pBdr/>
      <w:spacing/>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Grid Table 3 - Accent 3"/>
    <w:basedOn w:val="803"/>
    <w:uiPriority w:val="99"/>
    <w:pPr>
      <w:pBdr/>
      <w:spacing/>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customStyle="1">
    <w:name w:val="Grid Table 3 - Accent 4"/>
    <w:basedOn w:val="803"/>
    <w:uiPriority w:val="99"/>
    <w:pPr>
      <w:pBdr/>
      <w:spacing/>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customStyle="1">
    <w:name w:val="Grid Table 3 - Accent 5"/>
    <w:basedOn w:val="803"/>
    <w:uiPriority w:val="99"/>
    <w:pPr>
      <w:pBdr/>
      <w:spacing/>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customStyle="1">
    <w:name w:val="Grid Table 3 - Accent 6"/>
    <w:basedOn w:val="803"/>
    <w:uiPriority w:val="99"/>
    <w:pPr>
      <w:pBdr/>
      <w:spacing/>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customStyle="1">
    <w:name w:val="Grid Table 4 - Accent 1"/>
    <w:basedOn w:val="803"/>
    <w:uiPriority w:val="59"/>
    <w:pPr>
      <w:pBdr/>
      <w:spacing/>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customStyle="1">
    <w:name w:val="Grid Table 4 - Accent 2"/>
    <w:basedOn w:val="803"/>
    <w:uiPriority w:val="59"/>
    <w:pPr>
      <w:pBdr/>
      <w:spacing/>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customStyle="1">
    <w:name w:val="Grid Table 4 - Accent 3"/>
    <w:basedOn w:val="803"/>
    <w:uiPriority w:val="59"/>
    <w:pPr>
      <w:pBdr/>
      <w:spacing/>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Grid Table 4 - Accent 4"/>
    <w:basedOn w:val="803"/>
    <w:uiPriority w:val="59"/>
    <w:pPr>
      <w:pBdr/>
      <w:spacing/>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Grid Table 4 - Accent 5"/>
    <w:basedOn w:val="803"/>
    <w:uiPriority w:val="59"/>
    <w:pPr>
      <w:pBdr/>
      <w:spacing/>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customStyle="1">
    <w:name w:val="Grid Table 4 - Accent 6"/>
    <w:basedOn w:val="803"/>
    <w:uiPriority w:val="59"/>
    <w:pPr>
      <w:pBdr/>
      <w:spacing/>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customStyle="1">
    <w:name w:val="Grid Table 5 Dark- Accent 1"/>
    <w:basedOn w:val="80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customStyle="1">
    <w:name w:val="Grid Table 5 Dark - Accent 2"/>
    <w:basedOn w:val="80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Grid Table 5 Dark - Accent 3"/>
    <w:basedOn w:val="80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customStyle="1">
    <w:name w:val="Grid Table 5 Dark- Accent 4"/>
    <w:basedOn w:val="80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Grid Table 5 Dark - Accent 5"/>
    <w:basedOn w:val="80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Grid Table 5 Dark - Accent 6"/>
    <w:basedOn w:val="80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customStyle="1">
    <w:name w:val="Grid Table 6 Colorful - Accent 1"/>
    <w:basedOn w:val="803"/>
    <w:uiPriority w:val="99"/>
    <w:pPr>
      <w:pBdr/>
      <w:spacing/>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Grid Table 6 Colorful - Accent 2"/>
    <w:basedOn w:val="803"/>
    <w:uiPriority w:val="99"/>
    <w:pPr>
      <w:pBdr/>
      <w:spacing/>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customStyle="1">
    <w:name w:val="Grid Table 6 Colorful - Accent 3"/>
    <w:basedOn w:val="803"/>
    <w:uiPriority w:val="99"/>
    <w:pPr>
      <w:pBdr/>
      <w:spacing/>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Grid Table 6 Colorful - Accent 4"/>
    <w:basedOn w:val="803"/>
    <w:uiPriority w:val="99"/>
    <w:pPr>
      <w:pBdr/>
      <w:spacing/>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customStyle="1">
    <w:name w:val="Grid Table 6 Colorful - Accent 5"/>
    <w:basedOn w:val="803"/>
    <w:uiPriority w:val="99"/>
    <w:pPr>
      <w:pBdr/>
      <w:spacing/>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Grid Table 6 Colorful - Accent 6"/>
    <w:basedOn w:val="803"/>
    <w:uiPriority w:val="99"/>
    <w:pPr>
      <w:pBdr/>
      <w:spacing/>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Grid Table 7 Colorful - Accent 1"/>
    <w:basedOn w:val="803"/>
    <w:uiPriority w:val="99"/>
    <w:pPr>
      <w:pBdr/>
      <w:spacing/>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Grid Table 7 Colorful - Accent 2"/>
    <w:basedOn w:val="803"/>
    <w:uiPriority w:val="99"/>
    <w:pPr>
      <w:pBdr/>
      <w:spacing/>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Grid Table 7 Colorful - Accent 3"/>
    <w:basedOn w:val="803"/>
    <w:uiPriority w:val="99"/>
    <w:pPr>
      <w:pBdr/>
      <w:spacing/>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customStyle="1">
    <w:name w:val="Grid Table 7 Colorful - Accent 4"/>
    <w:basedOn w:val="803"/>
    <w:uiPriority w:val="99"/>
    <w:pPr>
      <w:pBdr/>
      <w:spacing/>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Grid Table 7 Colorful - Accent 5"/>
    <w:basedOn w:val="803"/>
    <w:uiPriority w:val="99"/>
    <w:pPr>
      <w:pBdr/>
      <w:spacing/>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customStyle="1">
    <w:name w:val="Grid Table 7 Colorful - Accent 6"/>
    <w:basedOn w:val="803"/>
    <w:uiPriority w:val="99"/>
    <w:pPr>
      <w:pBdr/>
      <w:spacing/>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List Table 1 Light - Accent 1"/>
    <w:basedOn w:val="803"/>
    <w:uiPriority w:val="99"/>
    <w:pPr>
      <w:pBdr/>
      <w:spacing/>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List Table 1 Light - Accent 2"/>
    <w:basedOn w:val="803"/>
    <w:uiPriority w:val="99"/>
    <w:pPr>
      <w:pBdr/>
      <w:spacing/>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List Table 1 Light - Accent 3"/>
    <w:basedOn w:val="803"/>
    <w:uiPriority w:val="99"/>
    <w:pPr>
      <w:pBdr/>
      <w:spacing/>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List Table 1 Light - Accent 4"/>
    <w:basedOn w:val="803"/>
    <w:uiPriority w:val="99"/>
    <w:pPr>
      <w:pBdr/>
      <w:spacing/>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customStyle="1">
    <w:name w:val="List Table 1 Light - Accent 5"/>
    <w:basedOn w:val="803"/>
    <w:uiPriority w:val="99"/>
    <w:pPr>
      <w:pBdr/>
      <w:spacing/>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List Table 1 Light - Accent 6"/>
    <w:basedOn w:val="803"/>
    <w:uiPriority w:val="99"/>
    <w:pPr>
      <w:pBdr/>
      <w:spacing/>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customStyle="1">
    <w:name w:val="List Table 2 - Accent 1"/>
    <w:basedOn w:val="803"/>
    <w:uiPriority w:val="99"/>
    <w:pPr>
      <w:pBdr/>
      <w:spacing/>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List Table 2 - Accent 2"/>
    <w:basedOn w:val="803"/>
    <w:uiPriority w:val="99"/>
    <w:pPr>
      <w:pBdr/>
      <w:spacing/>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List Table 2 - Accent 3"/>
    <w:basedOn w:val="803"/>
    <w:uiPriority w:val="99"/>
    <w:pPr>
      <w:pBdr/>
      <w:spacing/>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List Table 2 - Accent 4"/>
    <w:basedOn w:val="803"/>
    <w:uiPriority w:val="99"/>
    <w:pPr>
      <w:pBdr/>
      <w:spacing/>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List Table 2 - Accent 5"/>
    <w:basedOn w:val="803"/>
    <w:uiPriority w:val="99"/>
    <w:pPr>
      <w:pBdr/>
      <w:spacing/>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customStyle="1">
    <w:name w:val="List Table 2 - Accent 6"/>
    <w:basedOn w:val="803"/>
    <w:uiPriority w:val="99"/>
    <w:pPr>
      <w:pBdr/>
      <w:spacing/>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List Table 3 - Accent 1"/>
    <w:basedOn w:val="803"/>
    <w:uiPriority w:val="99"/>
    <w:pPr>
      <w:pBdr/>
      <w:spacing/>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customStyle="1">
    <w:name w:val="List Table 3 - Accent 2"/>
    <w:basedOn w:val="803"/>
    <w:uiPriority w:val="99"/>
    <w:pPr>
      <w:pBdr/>
      <w:spacing/>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List Table 3 - Accent 3"/>
    <w:basedOn w:val="803"/>
    <w:uiPriority w:val="99"/>
    <w:pPr>
      <w:pBdr/>
      <w:spacing/>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List Table 3 - Accent 4"/>
    <w:basedOn w:val="803"/>
    <w:uiPriority w:val="99"/>
    <w:pPr>
      <w:pBdr/>
      <w:spacing/>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List Table 3 - Accent 5"/>
    <w:basedOn w:val="803"/>
    <w:uiPriority w:val="99"/>
    <w:pPr>
      <w:pBdr/>
      <w:spacing/>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List Table 3 - Accent 6"/>
    <w:basedOn w:val="803"/>
    <w:uiPriority w:val="99"/>
    <w:pPr>
      <w:pBdr/>
      <w:spacing/>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customStyle="1">
    <w:name w:val="List Table 4 - Accent 1"/>
    <w:basedOn w:val="803"/>
    <w:uiPriority w:val="99"/>
    <w:pPr>
      <w:pBdr/>
      <w:spacing/>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customStyle="1">
    <w:name w:val="List Table 4 - Accent 2"/>
    <w:basedOn w:val="803"/>
    <w:uiPriority w:val="99"/>
    <w:pPr>
      <w:pBdr/>
      <w:spacing/>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customStyle="1">
    <w:name w:val="List Table 4 - Accent 3"/>
    <w:basedOn w:val="803"/>
    <w:uiPriority w:val="99"/>
    <w:pPr>
      <w:pBdr/>
      <w:spacing/>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List Table 4 - Accent 4"/>
    <w:basedOn w:val="803"/>
    <w:uiPriority w:val="99"/>
    <w:pPr>
      <w:pBdr/>
      <w:spacing/>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List Table 4 - Accent 5"/>
    <w:basedOn w:val="803"/>
    <w:uiPriority w:val="99"/>
    <w:pPr>
      <w:pBdr/>
      <w:spacing/>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List Table 4 - Accent 6"/>
    <w:basedOn w:val="803"/>
    <w:uiPriority w:val="99"/>
    <w:pPr>
      <w:pBdr/>
      <w:spacing/>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customStyle="1">
    <w:name w:val="List Table 5 Dark - Accent 1"/>
    <w:basedOn w:val="803"/>
    <w:uiPriority w:val="99"/>
    <w:pPr>
      <w:pBdr/>
      <w:spacing/>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customStyle="1">
    <w:name w:val="List Table 5 Dark - Accent 2"/>
    <w:basedOn w:val="803"/>
    <w:uiPriority w:val="99"/>
    <w:pPr>
      <w:pBdr/>
      <w:spacing/>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customStyle="1">
    <w:name w:val="List Table 5 Dark - Accent 3"/>
    <w:basedOn w:val="803"/>
    <w:uiPriority w:val="99"/>
    <w:pPr>
      <w:pBdr/>
      <w:spacing/>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customStyle="1">
    <w:name w:val="List Table 5 Dark - Accent 4"/>
    <w:basedOn w:val="803"/>
    <w:uiPriority w:val="99"/>
    <w:pPr>
      <w:pBdr/>
      <w:spacing/>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customStyle="1">
    <w:name w:val="List Table 5 Dark - Accent 5"/>
    <w:basedOn w:val="803"/>
    <w:uiPriority w:val="99"/>
    <w:pPr>
      <w:pBdr/>
      <w:spacing/>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customStyle="1">
    <w:name w:val="List Table 5 Dark - Accent 6"/>
    <w:basedOn w:val="803"/>
    <w:uiPriority w:val="99"/>
    <w:pPr>
      <w:pBdr/>
      <w:spacing/>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customStyle="1">
    <w:name w:val="List Table 6 Colorful - Accent 1"/>
    <w:basedOn w:val="803"/>
    <w:uiPriority w:val="99"/>
    <w:pPr>
      <w:pBdr/>
      <w:spacing/>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customStyle="1">
    <w:name w:val="List Table 6 Colorful - Accent 2"/>
    <w:basedOn w:val="803"/>
    <w:uiPriority w:val="99"/>
    <w:pPr>
      <w:pBdr/>
      <w:spacing/>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customStyle="1">
    <w:name w:val="List Table 6 Colorful - Accent 3"/>
    <w:basedOn w:val="803"/>
    <w:uiPriority w:val="99"/>
    <w:pPr>
      <w:pBdr/>
      <w:spacing/>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customStyle="1">
    <w:name w:val="List Table 6 Colorful - Accent 4"/>
    <w:basedOn w:val="803"/>
    <w:uiPriority w:val="99"/>
    <w:pPr>
      <w:pBdr/>
      <w:spacing/>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customStyle="1">
    <w:name w:val="List Table 6 Colorful - Accent 5"/>
    <w:basedOn w:val="803"/>
    <w:uiPriority w:val="99"/>
    <w:pPr>
      <w:pBdr/>
      <w:spacing/>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customStyle="1">
    <w:name w:val="List Table 6 Colorful - Accent 6"/>
    <w:basedOn w:val="803"/>
    <w:uiPriority w:val="99"/>
    <w:pPr>
      <w:pBdr/>
      <w:spacing/>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customStyle="1">
    <w:name w:val="List Table 7 Colorful - Accent 1"/>
    <w:basedOn w:val="803"/>
    <w:uiPriority w:val="99"/>
    <w:pPr>
      <w:pBdr/>
      <w:spacing/>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customStyle="1">
    <w:name w:val="List Table 7 Colorful - Accent 2"/>
    <w:basedOn w:val="803"/>
    <w:uiPriority w:val="99"/>
    <w:pPr>
      <w:pBdr/>
      <w:spacing/>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customStyle="1">
    <w:name w:val="List Table 7 Colorful - Accent 3"/>
    <w:basedOn w:val="803"/>
    <w:uiPriority w:val="99"/>
    <w:pPr>
      <w:pBdr/>
      <w:spacing/>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customStyle="1">
    <w:name w:val="List Table 7 Colorful - Accent 4"/>
    <w:basedOn w:val="803"/>
    <w:uiPriority w:val="99"/>
    <w:pPr>
      <w:pBdr/>
      <w:spacing/>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customStyle="1">
    <w:name w:val="List Table 7 Colorful - Accent 5"/>
    <w:basedOn w:val="803"/>
    <w:uiPriority w:val="99"/>
    <w:pPr>
      <w:pBdr/>
      <w:spacing/>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customStyle="1">
    <w:name w:val="List Table 7 Colorful - Accent 6"/>
    <w:basedOn w:val="803"/>
    <w:uiPriority w:val="99"/>
    <w:pPr>
      <w:pBdr/>
      <w:spacing/>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customStyle="1">
    <w:name w:val="Lined - Accent"/>
    <w:basedOn w:val="803"/>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customStyle="1">
    <w:name w:val="Lined - Accent 1"/>
    <w:basedOn w:val="803"/>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customStyle="1">
    <w:name w:val="Lined - Accent 2"/>
    <w:basedOn w:val="803"/>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customStyle="1">
    <w:name w:val="Lined - Accent 3"/>
    <w:basedOn w:val="803"/>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customStyle="1">
    <w:name w:val="Lined - Accent 4"/>
    <w:basedOn w:val="803"/>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customStyle="1">
    <w:name w:val="Lined - Accent 5"/>
    <w:basedOn w:val="803"/>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customStyle="1">
    <w:name w:val="Lined - Accent 6"/>
    <w:basedOn w:val="803"/>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customStyle="1">
    <w:name w:val="Bordered &amp; Lined - Accent"/>
    <w:basedOn w:val="803"/>
    <w:uiPriority w:val="99"/>
    <w:pPr>
      <w:pBdr/>
      <w:spacing/>
      <w:ind/>
    </w:pPr>
    <w:rPr>
      <w:color w:val="404040"/>
      <w:sz w:val="20"/>
      <w:szCs w:val="20"/>
      <w:lang w:val="it-IT" w:eastAsia="it-IT"/>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customStyle="1">
    <w:name w:val="Bordered &amp; Lined - Accent 1"/>
    <w:basedOn w:val="803"/>
    <w:uiPriority w:val="99"/>
    <w:pPr>
      <w:pBdr/>
      <w:spacing/>
      <w:ind/>
    </w:pPr>
    <w:rPr>
      <w:color w:val="404040"/>
      <w:sz w:val="20"/>
      <w:szCs w:val="20"/>
      <w:lang w:val="it-IT" w:eastAsia="it-IT"/>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customStyle="1">
    <w:name w:val="Bordered &amp; Lined - Accent 2"/>
    <w:basedOn w:val="803"/>
    <w:uiPriority w:val="99"/>
    <w:pPr>
      <w:pBdr/>
      <w:spacing/>
      <w:ind/>
    </w:pPr>
    <w:rPr>
      <w:color w:val="404040"/>
      <w:sz w:val="20"/>
      <w:szCs w:val="20"/>
      <w:lang w:val="it-IT" w:eastAsia="it-IT"/>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customStyle="1">
    <w:name w:val="Bordered &amp; Lined - Accent 3"/>
    <w:basedOn w:val="803"/>
    <w:uiPriority w:val="99"/>
    <w:pPr>
      <w:pBdr/>
      <w:spacing/>
      <w:ind/>
    </w:pPr>
    <w:rPr>
      <w:color w:val="404040"/>
      <w:sz w:val="20"/>
      <w:szCs w:val="20"/>
      <w:lang w:val="it-IT" w:eastAsia="it-IT"/>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customStyle="1">
    <w:name w:val="Bordered &amp; Lined - Accent 4"/>
    <w:basedOn w:val="803"/>
    <w:uiPriority w:val="99"/>
    <w:pPr>
      <w:pBdr/>
      <w:spacing/>
      <w:ind/>
    </w:pPr>
    <w:rPr>
      <w:color w:val="404040"/>
      <w:sz w:val="20"/>
      <w:szCs w:val="20"/>
      <w:lang w:val="it-IT" w:eastAsia="it-IT"/>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customStyle="1">
    <w:name w:val="Bordered &amp; Lined - Accent 5"/>
    <w:basedOn w:val="803"/>
    <w:uiPriority w:val="99"/>
    <w:pPr>
      <w:pBdr/>
      <w:spacing/>
      <w:ind/>
    </w:pPr>
    <w:rPr>
      <w:color w:val="404040"/>
      <w:sz w:val="20"/>
      <w:szCs w:val="20"/>
      <w:lang w:val="it-IT" w:eastAsia="it-IT"/>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customStyle="1">
    <w:name w:val="Bordered &amp; Lined - Accent 6"/>
    <w:basedOn w:val="803"/>
    <w:uiPriority w:val="99"/>
    <w:pPr>
      <w:pBdr/>
      <w:spacing/>
      <w:ind/>
    </w:pPr>
    <w:rPr>
      <w:color w:val="404040"/>
      <w:sz w:val="20"/>
      <w:szCs w:val="20"/>
      <w:lang w:val="it-IT" w:eastAsia="it-IT"/>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customStyle="1">
    <w:name w:val="Bordered"/>
    <w:basedOn w:val="803"/>
    <w:uiPriority w:val="99"/>
    <w:pPr>
      <w:pBdr/>
      <w:spacing/>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customStyle="1">
    <w:name w:val="Bordered - Accent 1"/>
    <w:basedOn w:val="803"/>
    <w:uiPriority w:val="99"/>
    <w:pPr>
      <w:pBdr/>
      <w:spacing/>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customStyle="1">
    <w:name w:val="Bordered - Accent 2"/>
    <w:basedOn w:val="803"/>
    <w:uiPriority w:val="99"/>
    <w:pPr>
      <w:pBdr/>
      <w:spacing/>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customStyle="1">
    <w:name w:val="Bordered - Accent 3"/>
    <w:basedOn w:val="803"/>
    <w:uiPriority w:val="99"/>
    <w:pPr>
      <w:pBdr/>
      <w:spacing/>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customStyle="1">
    <w:name w:val="Bordered - Accent 4"/>
    <w:basedOn w:val="803"/>
    <w:uiPriority w:val="99"/>
    <w:pPr>
      <w:pBdr/>
      <w:spacing/>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customStyle="1">
    <w:name w:val="Bordered - Accent 5"/>
    <w:basedOn w:val="803"/>
    <w:uiPriority w:val="99"/>
    <w:pPr>
      <w:pBdr/>
      <w:spacing/>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customStyle="1">
    <w:name w:val="Bordered - Accent 6"/>
    <w:basedOn w:val="803"/>
    <w:uiPriority w:val="99"/>
    <w:pPr>
      <w:pBdr/>
      <w:spacing/>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28" w:customStyle="1">
    <w:name w:val="Titolo 1 Carattere"/>
    <w:basedOn w:val="802"/>
    <w:link w:val="793"/>
    <w:uiPriority w:val="9"/>
    <w:pPr>
      <w:pBdr/>
      <w:spacing/>
      <w:ind/>
    </w:pPr>
    <w:rPr>
      <w:rFonts w:ascii="Arial" w:hAnsi="Arial" w:eastAsia="Arial" w:cs="Arial"/>
      <w:color w:val="365f91" w:themeColor="accent1" w:themeShade="BF"/>
      <w:sz w:val="40"/>
      <w:szCs w:val="40"/>
    </w:rPr>
  </w:style>
  <w:style w:type="character" w:styleId="929" w:customStyle="1">
    <w:name w:val="Titolo 2 Carattere"/>
    <w:basedOn w:val="802"/>
    <w:link w:val="794"/>
    <w:uiPriority w:val="9"/>
    <w:pPr>
      <w:pBdr/>
      <w:spacing/>
      <w:ind/>
    </w:pPr>
    <w:rPr>
      <w:rFonts w:ascii="Arial" w:hAnsi="Arial" w:eastAsia="Arial" w:cs="Arial"/>
      <w:color w:val="365f91" w:themeColor="accent1" w:themeShade="BF"/>
      <w:sz w:val="32"/>
      <w:szCs w:val="32"/>
    </w:rPr>
  </w:style>
  <w:style w:type="table" w:styleId="930">
    <w:name w:val="Table Grid"/>
    <w:basedOn w:val="803"/>
    <w:uiPriority w:val="5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Plain Table 1"/>
    <w:basedOn w:val="803"/>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Plain Table 2"/>
    <w:basedOn w:val="803"/>
    <w:uiPriority w:val="59"/>
    <w:pPr>
      <w:pBdr/>
      <w:spacing/>
      <w:ind/>
    </w:pPr>
    <w:tblPr>
      <w:tblBorders>
        <w:top w:val="single" w:color="000000" w:themeColor="text1" w:sz="4" w:space="0"/>
        <w:left w:val="none" w:color="000000" w:sz="4" w:space="0"/>
        <w:bottom w:val="single" w:color="000000" w:themeColor="text1" w:sz="4" w:space="0"/>
        <w:right w:val="none" w:color="000000"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Plain Table 3"/>
    <w:basedOn w:val="803"/>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Plain Table 4"/>
    <w:basedOn w:val="803"/>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Plain Table 5"/>
    <w:basedOn w:val="803"/>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Grid Table 1 Light"/>
    <w:basedOn w:val="803"/>
    <w:uiPriority w:val="99"/>
    <w:pPr>
      <w:pBdr/>
      <w:spacing/>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Grid Table 2"/>
    <w:basedOn w:val="803"/>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Grid Table 3"/>
    <w:basedOn w:val="803"/>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Grid Table 4"/>
    <w:basedOn w:val="803"/>
    <w:uiPriority w:val="59"/>
    <w:pPr>
      <w:pBdr/>
      <w:spacing/>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Grid Table 5 Dark"/>
    <w:basedOn w:val="80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Grid Table 6 Colorful"/>
    <w:basedOn w:val="803"/>
    <w:uiPriority w:val="99"/>
    <w:pPr>
      <w:pBdr/>
      <w:spacing/>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Grid Table 7 Colorful"/>
    <w:basedOn w:val="803"/>
    <w:uiPriority w:val="99"/>
    <w:pPr>
      <w:pBdr/>
      <w:spacing/>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1 Light"/>
    <w:basedOn w:val="803"/>
    <w:uiPriority w:val="99"/>
    <w:pPr>
      <w:pBdr/>
      <w:spacing/>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2"/>
    <w:basedOn w:val="803"/>
    <w:uiPriority w:val="99"/>
    <w:pPr>
      <w:pBdr/>
      <w:spacing/>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3"/>
    <w:basedOn w:val="803"/>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4"/>
    <w:basedOn w:val="803"/>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5 Dark"/>
    <w:basedOn w:val="803"/>
    <w:uiPriority w:val="99"/>
    <w:pPr>
      <w:pBdr/>
      <w:spacing/>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w:basedOn w:val="803"/>
    <w:uiPriority w:val="99"/>
    <w:pPr>
      <w:pBdr/>
      <w:spacing/>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7 Colorful"/>
    <w:basedOn w:val="803"/>
    <w:uiPriority w:val="99"/>
    <w:pPr>
      <w:pBdr/>
      <w:spacing/>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50" w:customStyle="1">
    <w:name w:val="Titolo 3 Carattere"/>
    <w:basedOn w:val="802"/>
    <w:link w:val="795"/>
    <w:uiPriority w:val="9"/>
    <w:pPr>
      <w:pBdr/>
      <w:spacing/>
      <w:ind/>
    </w:pPr>
    <w:rPr>
      <w:rFonts w:ascii="Arial" w:hAnsi="Arial" w:eastAsia="Arial" w:cs="Arial"/>
      <w:color w:val="365f91" w:themeColor="accent1" w:themeShade="BF"/>
      <w:sz w:val="28"/>
      <w:szCs w:val="28"/>
    </w:rPr>
  </w:style>
  <w:style w:type="character" w:styleId="951" w:customStyle="1">
    <w:name w:val="Titolo 4 Carattere"/>
    <w:basedOn w:val="802"/>
    <w:link w:val="796"/>
    <w:uiPriority w:val="9"/>
    <w:pPr>
      <w:pBdr/>
      <w:spacing/>
      <w:ind/>
    </w:pPr>
    <w:rPr>
      <w:rFonts w:ascii="Arial" w:hAnsi="Arial" w:eastAsia="Arial" w:cs="Arial"/>
      <w:i/>
      <w:iCs/>
      <w:color w:val="365f91" w:themeColor="accent1" w:themeShade="BF"/>
    </w:rPr>
  </w:style>
  <w:style w:type="character" w:styleId="952" w:customStyle="1">
    <w:name w:val="Titolo 5 Carattere"/>
    <w:basedOn w:val="802"/>
    <w:link w:val="797"/>
    <w:uiPriority w:val="9"/>
    <w:pPr>
      <w:pBdr/>
      <w:spacing/>
      <w:ind/>
    </w:pPr>
    <w:rPr>
      <w:rFonts w:ascii="Arial" w:hAnsi="Arial" w:eastAsia="Arial" w:cs="Arial"/>
      <w:color w:val="365f91" w:themeColor="accent1" w:themeShade="BF"/>
    </w:rPr>
  </w:style>
  <w:style w:type="character" w:styleId="953" w:customStyle="1">
    <w:name w:val="Titolo 6 Carattere"/>
    <w:basedOn w:val="802"/>
    <w:link w:val="798"/>
    <w:uiPriority w:val="9"/>
    <w:pPr>
      <w:pBdr/>
      <w:spacing/>
      <w:ind/>
    </w:pPr>
    <w:rPr>
      <w:rFonts w:ascii="Arial" w:hAnsi="Arial" w:eastAsia="Arial" w:cs="Arial"/>
      <w:i/>
      <w:iCs/>
      <w:color w:val="595959" w:themeColor="text1" w:themeTint="A6"/>
    </w:rPr>
  </w:style>
  <w:style w:type="character" w:styleId="954" w:customStyle="1">
    <w:name w:val="Titolo 7 Carattere"/>
    <w:basedOn w:val="802"/>
    <w:link w:val="799"/>
    <w:uiPriority w:val="9"/>
    <w:pPr>
      <w:pBdr/>
      <w:spacing/>
      <w:ind/>
    </w:pPr>
    <w:rPr>
      <w:rFonts w:ascii="Arial" w:hAnsi="Arial" w:eastAsia="Arial" w:cs="Arial"/>
      <w:color w:val="595959" w:themeColor="text1" w:themeTint="A6"/>
    </w:rPr>
  </w:style>
  <w:style w:type="character" w:styleId="955" w:customStyle="1">
    <w:name w:val="Titolo 8 Carattere"/>
    <w:basedOn w:val="802"/>
    <w:link w:val="800"/>
    <w:uiPriority w:val="9"/>
    <w:pPr>
      <w:pBdr/>
      <w:spacing/>
      <w:ind/>
    </w:pPr>
    <w:rPr>
      <w:rFonts w:ascii="Arial" w:hAnsi="Arial" w:eastAsia="Arial" w:cs="Arial"/>
      <w:i/>
      <w:iCs/>
      <w:color w:val="272727" w:themeColor="text1" w:themeTint="D8"/>
    </w:rPr>
  </w:style>
  <w:style w:type="character" w:styleId="956" w:customStyle="1">
    <w:name w:val="Titolo 9 Carattere"/>
    <w:basedOn w:val="802"/>
    <w:link w:val="801"/>
    <w:uiPriority w:val="9"/>
    <w:pPr>
      <w:pBdr/>
      <w:spacing/>
      <w:ind/>
    </w:pPr>
    <w:rPr>
      <w:rFonts w:ascii="Arial" w:hAnsi="Arial" w:eastAsia="Arial" w:cs="Arial"/>
      <w:i/>
      <w:iCs/>
      <w:color w:val="272727" w:themeColor="text1" w:themeTint="D8"/>
    </w:rPr>
  </w:style>
  <w:style w:type="paragraph" w:styleId="957">
    <w:name w:val="Title"/>
    <w:basedOn w:val="792"/>
    <w:next w:val="792"/>
    <w:link w:val="958"/>
    <w:uiPriority w:val="10"/>
    <w:qFormat/>
    <w:pPr>
      <w:pBdr/>
      <w:spacing w:after="80"/>
      <w:ind/>
      <w:contextualSpacing w:val="true"/>
    </w:pPr>
    <w:rPr>
      <w:rFonts w:ascii="Arial" w:hAnsi="Arial" w:eastAsia="Arial" w:cs="Arial"/>
      <w:spacing w:val="-10"/>
      <w:sz w:val="56"/>
      <w:szCs w:val="56"/>
    </w:rPr>
  </w:style>
  <w:style w:type="character" w:styleId="958" w:customStyle="1">
    <w:name w:val="Titolo Carattere"/>
    <w:basedOn w:val="802"/>
    <w:link w:val="957"/>
    <w:uiPriority w:val="10"/>
    <w:pPr>
      <w:pBdr/>
      <w:spacing/>
      <w:ind/>
    </w:pPr>
    <w:rPr>
      <w:rFonts w:ascii="Arial" w:hAnsi="Arial" w:eastAsia="Arial" w:cs="Arial"/>
      <w:spacing w:val="-10"/>
      <w:sz w:val="56"/>
      <w:szCs w:val="56"/>
    </w:rPr>
  </w:style>
  <w:style w:type="paragraph" w:styleId="959">
    <w:name w:val="Subtitle"/>
    <w:basedOn w:val="792"/>
    <w:next w:val="792"/>
    <w:link w:val="960"/>
    <w:uiPriority w:val="11"/>
    <w:qFormat/>
    <w:pPr>
      <w:numPr>
        <w:ilvl w:val="1"/>
      </w:numPr>
      <w:pBdr/>
      <w:spacing/>
      <w:ind/>
    </w:pPr>
    <w:rPr>
      <w:color w:val="595959" w:themeColor="text1" w:themeTint="A6"/>
      <w:spacing w:val="15"/>
      <w:sz w:val="28"/>
      <w:szCs w:val="28"/>
    </w:rPr>
  </w:style>
  <w:style w:type="character" w:styleId="960" w:customStyle="1">
    <w:name w:val="Sottotitolo Carattere"/>
    <w:basedOn w:val="802"/>
    <w:link w:val="959"/>
    <w:uiPriority w:val="11"/>
    <w:pPr>
      <w:pBdr/>
      <w:spacing/>
      <w:ind/>
    </w:pPr>
    <w:rPr>
      <w:color w:val="595959" w:themeColor="text1" w:themeTint="A6"/>
      <w:spacing w:val="15"/>
      <w:sz w:val="28"/>
      <w:szCs w:val="28"/>
    </w:rPr>
  </w:style>
  <w:style w:type="paragraph" w:styleId="961">
    <w:name w:val="Quote"/>
    <w:basedOn w:val="792"/>
    <w:next w:val="792"/>
    <w:link w:val="962"/>
    <w:uiPriority w:val="29"/>
    <w:qFormat/>
    <w:pPr>
      <w:pBdr/>
      <w:spacing w:before="160"/>
      <w:ind/>
      <w:jc w:val="center"/>
    </w:pPr>
    <w:rPr>
      <w:i/>
      <w:iCs/>
      <w:color w:val="404040" w:themeColor="text1" w:themeTint="BF"/>
    </w:rPr>
  </w:style>
  <w:style w:type="character" w:styleId="962" w:customStyle="1">
    <w:name w:val="Citazione Carattere"/>
    <w:basedOn w:val="802"/>
    <w:link w:val="961"/>
    <w:uiPriority w:val="29"/>
    <w:pPr>
      <w:pBdr/>
      <w:spacing/>
      <w:ind/>
    </w:pPr>
    <w:rPr>
      <w:i/>
      <w:iCs/>
      <w:color w:val="404040" w:themeColor="text1" w:themeTint="BF"/>
    </w:rPr>
  </w:style>
  <w:style w:type="character" w:styleId="963">
    <w:name w:val="Intense Emphasis"/>
    <w:basedOn w:val="802"/>
    <w:uiPriority w:val="21"/>
    <w:qFormat/>
    <w:pPr>
      <w:pBdr/>
      <w:spacing/>
      <w:ind/>
    </w:pPr>
    <w:rPr>
      <w:i/>
      <w:iCs/>
      <w:color w:val="365f91" w:themeColor="accent1" w:themeShade="BF"/>
    </w:rPr>
  </w:style>
  <w:style w:type="paragraph" w:styleId="964">
    <w:name w:val="Intense Quote"/>
    <w:basedOn w:val="792"/>
    <w:next w:val="792"/>
    <w:link w:val="965"/>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965" w:customStyle="1">
    <w:name w:val="Citazione intensa Carattere"/>
    <w:basedOn w:val="802"/>
    <w:link w:val="964"/>
    <w:uiPriority w:val="30"/>
    <w:pPr>
      <w:pBdr/>
      <w:spacing/>
      <w:ind/>
    </w:pPr>
    <w:rPr>
      <w:i/>
      <w:iCs/>
      <w:color w:val="365f91" w:themeColor="accent1" w:themeShade="BF"/>
    </w:rPr>
  </w:style>
  <w:style w:type="character" w:styleId="966">
    <w:name w:val="Intense Reference"/>
    <w:basedOn w:val="802"/>
    <w:uiPriority w:val="32"/>
    <w:qFormat/>
    <w:pPr>
      <w:pBdr/>
      <w:spacing/>
      <w:ind/>
    </w:pPr>
    <w:rPr>
      <w:b/>
      <w:bCs/>
      <w:smallCaps/>
      <w:color w:val="365f91" w:themeColor="accent1" w:themeShade="BF"/>
      <w:spacing w:val="5"/>
    </w:rPr>
  </w:style>
  <w:style w:type="paragraph" w:styleId="967">
    <w:name w:val="No Spacing"/>
    <w:basedOn w:val="792"/>
    <w:uiPriority w:val="1"/>
    <w:qFormat/>
    <w:pPr>
      <w:pBdr/>
      <w:spacing/>
      <w:ind/>
    </w:pPr>
  </w:style>
  <w:style w:type="character" w:styleId="968">
    <w:name w:val="Subtle Emphasis"/>
    <w:basedOn w:val="802"/>
    <w:uiPriority w:val="19"/>
    <w:qFormat/>
    <w:pPr>
      <w:pBdr/>
      <w:spacing/>
      <w:ind/>
    </w:pPr>
    <w:rPr>
      <w:i/>
      <w:iCs/>
      <w:color w:val="404040" w:themeColor="text1" w:themeTint="BF"/>
    </w:rPr>
  </w:style>
  <w:style w:type="character" w:styleId="969">
    <w:name w:val="Emphasis"/>
    <w:basedOn w:val="802"/>
    <w:uiPriority w:val="20"/>
    <w:qFormat/>
    <w:pPr>
      <w:pBdr/>
      <w:spacing/>
      <w:ind/>
    </w:pPr>
    <w:rPr>
      <w:i/>
      <w:iCs/>
    </w:rPr>
  </w:style>
  <w:style w:type="character" w:styleId="970">
    <w:name w:val="Strong"/>
    <w:basedOn w:val="802"/>
    <w:uiPriority w:val="22"/>
    <w:qFormat/>
    <w:pPr>
      <w:pBdr/>
      <w:spacing/>
      <w:ind/>
    </w:pPr>
    <w:rPr>
      <w:b/>
      <w:bCs/>
    </w:rPr>
  </w:style>
  <w:style w:type="character" w:styleId="971">
    <w:name w:val="Subtle Reference"/>
    <w:basedOn w:val="802"/>
    <w:uiPriority w:val="31"/>
    <w:qFormat/>
    <w:pPr>
      <w:pBdr/>
      <w:spacing/>
      <w:ind/>
    </w:pPr>
    <w:rPr>
      <w:smallCaps/>
      <w:color w:val="5a5a5a" w:themeColor="text1" w:themeTint="A5"/>
    </w:rPr>
  </w:style>
  <w:style w:type="character" w:styleId="972">
    <w:name w:val="Book Title"/>
    <w:basedOn w:val="802"/>
    <w:uiPriority w:val="33"/>
    <w:qFormat/>
    <w:pPr>
      <w:pBdr/>
      <w:spacing/>
      <w:ind/>
    </w:pPr>
    <w:rPr>
      <w:b/>
      <w:bCs/>
      <w:i/>
      <w:iCs/>
      <w:spacing w:val="5"/>
    </w:rPr>
  </w:style>
  <w:style w:type="paragraph" w:styleId="973">
    <w:name w:val="Header"/>
    <w:basedOn w:val="792"/>
    <w:link w:val="974"/>
    <w:uiPriority w:val="99"/>
    <w:unhideWhenUsed/>
    <w:pPr>
      <w:pBdr/>
      <w:tabs>
        <w:tab w:val="center" w:leader="none" w:pos="4844"/>
        <w:tab w:val="right" w:leader="none" w:pos="9689"/>
      </w:tabs>
      <w:spacing/>
      <w:ind/>
    </w:pPr>
  </w:style>
  <w:style w:type="character" w:styleId="974" w:customStyle="1">
    <w:name w:val="Intestazione Carattere"/>
    <w:basedOn w:val="802"/>
    <w:link w:val="973"/>
    <w:uiPriority w:val="99"/>
    <w:pPr>
      <w:pBdr/>
      <w:spacing/>
      <w:ind/>
    </w:pPr>
  </w:style>
  <w:style w:type="paragraph" w:styleId="975">
    <w:name w:val="Footer"/>
    <w:basedOn w:val="792"/>
    <w:link w:val="976"/>
    <w:uiPriority w:val="99"/>
    <w:unhideWhenUsed/>
    <w:pPr>
      <w:pBdr/>
      <w:tabs>
        <w:tab w:val="center" w:leader="none" w:pos="4844"/>
        <w:tab w:val="right" w:leader="none" w:pos="9689"/>
      </w:tabs>
      <w:spacing/>
      <w:ind/>
    </w:pPr>
  </w:style>
  <w:style w:type="character" w:styleId="976" w:customStyle="1">
    <w:name w:val="Piè di pagina Carattere"/>
    <w:basedOn w:val="802"/>
    <w:link w:val="975"/>
    <w:uiPriority w:val="99"/>
    <w:pPr>
      <w:pBdr/>
      <w:spacing/>
      <w:ind/>
    </w:pPr>
  </w:style>
  <w:style w:type="paragraph" w:styleId="977">
    <w:name w:val="Caption"/>
    <w:basedOn w:val="792"/>
    <w:next w:val="792"/>
    <w:uiPriority w:val="35"/>
    <w:unhideWhenUsed/>
    <w:qFormat/>
    <w:pPr>
      <w:pBdr/>
      <w:spacing w:after="200"/>
      <w:ind/>
    </w:pPr>
    <w:rPr>
      <w:i/>
      <w:iCs/>
      <w:color w:val="1f497d" w:themeColor="text2"/>
      <w:sz w:val="18"/>
      <w:szCs w:val="18"/>
    </w:rPr>
  </w:style>
  <w:style w:type="paragraph" w:styleId="978">
    <w:name w:val="footnote text"/>
    <w:basedOn w:val="792"/>
    <w:link w:val="979"/>
    <w:uiPriority w:val="99"/>
    <w:semiHidden/>
    <w:unhideWhenUsed/>
    <w:pPr>
      <w:pBdr/>
      <w:spacing/>
      <w:ind/>
    </w:pPr>
    <w:rPr>
      <w:sz w:val="20"/>
      <w:szCs w:val="20"/>
    </w:rPr>
  </w:style>
  <w:style w:type="character" w:styleId="979" w:customStyle="1">
    <w:name w:val="Testo nota a piè di pagina Carattere"/>
    <w:basedOn w:val="802"/>
    <w:link w:val="978"/>
    <w:uiPriority w:val="99"/>
    <w:semiHidden/>
    <w:pPr>
      <w:pBdr/>
      <w:spacing/>
      <w:ind/>
    </w:pPr>
    <w:rPr>
      <w:sz w:val="20"/>
      <w:szCs w:val="20"/>
    </w:rPr>
  </w:style>
  <w:style w:type="character" w:styleId="980">
    <w:name w:val="footnote reference"/>
    <w:basedOn w:val="802"/>
    <w:uiPriority w:val="99"/>
    <w:semiHidden/>
    <w:unhideWhenUsed/>
    <w:pPr>
      <w:pBdr/>
      <w:spacing/>
      <w:ind/>
    </w:pPr>
    <w:rPr>
      <w:vertAlign w:val="superscript"/>
    </w:rPr>
  </w:style>
  <w:style w:type="paragraph" w:styleId="981">
    <w:name w:val="endnote text"/>
    <w:basedOn w:val="792"/>
    <w:link w:val="982"/>
    <w:uiPriority w:val="99"/>
    <w:semiHidden/>
    <w:unhideWhenUsed/>
    <w:pPr>
      <w:pBdr/>
      <w:spacing/>
      <w:ind/>
    </w:pPr>
    <w:rPr>
      <w:sz w:val="20"/>
      <w:szCs w:val="20"/>
    </w:rPr>
  </w:style>
  <w:style w:type="character" w:styleId="982" w:customStyle="1">
    <w:name w:val="Testo nota di chiusura Carattere"/>
    <w:basedOn w:val="802"/>
    <w:link w:val="981"/>
    <w:uiPriority w:val="99"/>
    <w:semiHidden/>
    <w:pPr>
      <w:pBdr/>
      <w:spacing/>
      <w:ind/>
    </w:pPr>
    <w:rPr>
      <w:sz w:val="20"/>
      <w:szCs w:val="20"/>
    </w:rPr>
  </w:style>
  <w:style w:type="character" w:styleId="983">
    <w:name w:val="endnote reference"/>
    <w:basedOn w:val="802"/>
    <w:uiPriority w:val="99"/>
    <w:semiHidden/>
    <w:unhideWhenUsed/>
    <w:pPr>
      <w:pBdr/>
      <w:spacing/>
      <w:ind/>
    </w:pPr>
    <w:rPr>
      <w:vertAlign w:val="superscript"/>
    </w:rPr>
  </w:style>
  <w:style w:type="character" w:styleId="984">
    <w:name w:val="Hyperlink"/>
    <w:basedOn w:val="802"/>
    <w:uiPriority w:val="99"/>
    <w:unhideWhenUsed/>
    <w:pPr>
      <w:pBdr/>
      <w:spacing/>
      <w:ind/>
    </w:pPr>
    <w:rPr>
      <w:color w:val="0000ff" w:themeColor="hyperlink"/>
      <w:u w:val="single"/>
    </w:rPr>
  </w:style>
  <w:style w:type="character" w:styleId="985">
    <w:name w:val="FollowedHyperlink"/>
    <w:basedOn w:val="802"/>
    <w:uiPriority w:val="99"/>
    <w:semiHidden/>
    <w:unhideWhenUsed/>
    <w:pPr>
      <w:pBdr/>
      <w:spacing/>
      <w:ind/>
    </w:pPr>
    <w:rPr>
      <w:color w:val="800080" w:themeColor="followedHyperlink"/>
      <w:u w:val="single"/>
    </w:rPr>
  </w:style>
  <w:style w:type="paragraph" w:styleId="986">
    <w:name w:val="toc 1"/>
    <w:basedOn w:val="792"/>
    <w:next w:val="792"/>
    <w:uiPriority w:val="39"/>
    <w:unhideWhenUsed/>
    <w:pPr>
      <w:pBdr/>
      <w:spacing w:after="100"/>
      <w:ind/>
    </w:pPr>
  </w:style>
  <w:style w:type="paragraph" w:styleId="987">
    <w:name w:val="toc 2"/>
    <w:basedOn w:val="792"/>
    <w:next w:val="792"/>
    <w:uiPriority w:val="39"/>
    <w:unhideWhenUsed/>
    <w:pPr>
      <w:pBdr/>
      <w:spacing w:after="100"/>
      <w:ind w:left="220"/>
    </w:pPr>
  </w:style>
  <w:style w:type="paragraph" w:styleId="988">
    <w:name w:val="toc 3"/>
    <w:basedOn w:val="792"/>
    <w:next w:val="792"/>
    <w:uiPriority w:val="39"/>
    <w:unhideWhenUsed/>
    <w:pPr>
      <w:pBdr/>
      <w:spacing w:after="100"/>
      <w:ind w:left="440"/>
    </w:pPr>
  </w:style>
  <w:style w:type="paragraph" w:styleId="989">
    <w:name w:val="toc 4"/>
    <w:basedOn w:val="792"/>
    <w:next w:val="792"/>
    <w:uiPriority w:val="39"/>
    <w:unhideWhenUsed/>
    <w:pPr>
      <w:pBdr/>
      <w:spacing w:after="100"/>
      <w:ind w:left="660"/>
    </w:pPr>
  </w:style>
  <w:style w:type="paragraph" w:styleId="990">
    <w:name w:val="toc 5"/>
    <w:basedOn w:val="792"/>
    <w:next w:val="792"/>
    <w:uiPriority w:val="39"/>
    <w:unhideWhenUsed/>
    <w:pPr>
      <w:pBdr/>
      <w:spacing w:after="100"/>
      <w:ind w:left="880"/>
    </w:pPr>
  </w:style>
  <w:style w:type="paragraph" w:styleId="991">
    <w:name w:val="toc 6"/>
    <w:basedOn w:val="792"/>
    <w:next w:val="792"/>
    <w:uiPriority w:val="39"/>
    <w:unhideWhenUsed/>
    <w:pPr>
      <w:pBdr/>
      <w:spacing w:after="100"/>
      <w:ind w:left="1100"/>
    </w:pPr>
  </w:style>
  <w:style w:type="paragraph" w:styleId="992">
    <w:name w:val="toc 7"/>
    <w:basedOn w:val="792"/>
    <w:next w:val="792"/>
    <w:uiPriority w:val="39"/>
    <w:unhideWhenUsed/>
    <w:pPr>
      <w:pBdr/>
      <w:spacing w:after="100"/>
      <w:ind w:left="1320"/>
    </w:pPr>
  </w:style>
  <w:style w:type="paragraph" w:styleId="993">
    <w:name w:val="toc 8"/>
    <w:basedOn w:val="792"/>
    <w:next w:val="792"/>
    <w:uiPriority w:val="39"/>
    <w:unhideWhenUsed/>
    <w:pPr>
      <w:pBdr/>
      <w:spacing w:after="100"/>
      <w:ind w:left="1540"/>
    </w:pPr>
  </w:style>
  <w:style w:type="paragraph" w:styleId="994">
    <w:name w:val="toc 9"/>
    <w:basedOn w:val="792"/>
    <w:next w:val="792"/>
    <w:uiPriority w:val="39"/>
    <w:unhideWhenUsed/>
    <w:pPr>
      <w:pBdr/>
      <w:spacing w:after="100"/>
      <w:ind w:left="1760"/>
    </w:pPr>
  </w:style>
  <w:style w:type="paragraph" w:styleId="995">
    <w:name w:val="TOC Heading"/>
    <w:uiPriority w:val="39"/>
    <w:unhideWhenUsed/>
    <w:pPr>
      <w:pBdr/>
      <w:spacing/>
      <w:ind/>
    </w:pPr>
  </w:style>
  <w:style w:type="paragraph" w:styleId="996">
    <w:name w:val="table of figures"/>
    <w:basedOn w:val="792"/>
    <w:next w:val="792"/>
    <w:uiPriority w:val="99"/>
    <w:unhideWhenUsed/>
    <w:pPr>
      <w:pBdr/>
      <w:spacing/>
      <w:ind/>
    </w:pPr>
  </w:style>
  <w:style w:type="paragraph" w:styleId="997">
    <w:name w:val="Body Text"/>
    <w:basedOn w:val="792"/>
    <w:uiPriority w:val="1"/>
    <w:qFormat/>
    <w:pPr>
      <w:pBdr/>
      <w:spacing/>
      <w:ind/>
    </w:pPr>
  </w:style>
  <w:style w:type="paragraph" w:styleId="998">
    <w:name w:val="List Paragraph"/>
    <w:basedOn w:val="792"/>
    <w:uiPriority w:val="1"/>
    <w:qFormat/>
    <w:pPr>
      <w:pBdr/>
      <w:spacing/>
      <w:ind w:hanging="360" w:left="861"/>
      <w:jc w:val="both"/>
    </w:pPr>
  </w:style>
  <w:style w:type="paragraph" w:styleId="999" w:customStyle="1">
    <w:name w:val="Table Paragraph"/>
    <w:basedOn w:val="792"/>
    <w:uiPriority w:val="1"/>
    <w:qFormat/>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hyperlink" Target="http://www.euroinfosicilia.it/"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_rels/header2.xml.rels><?xml version="1.0" encoding="UTF-8" standalone="yes"?><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ONLYOFFICE/8.2.1.38</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Vincenzo Veneziano</dc:creator>
  <cp:revision>8</cp:revision>
  <dcterms:created xsi:type="dcterms:W3CDTF">2026-07-29T13:08:00Z</dcterms:created>
  <dcterms:modified xsi:type="dcterms:W3CDTF">2026-08-25T11:05:14Z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2026-07-29T00:00:00Z</vt:filetime>
  </property>
  <property fmtid="{D5CDD505-2E9C-101B-9397-08002B2CF9AE}" pid="4" name="Creator">
    <vt:lpwstr>ONLYOFFICE/8.2.1.38</vt:lpwstr>
  </property>
  <property fmtid="{D5CDD505-2E9C-101B-9397-08002B2CF9AE}" pid="5" name="LastSaved">
    <vt:filetime>2026-07-29T00:00:00Z</vt:filetime>
  </property>
  <property fmtid="{D5CDD505-2E9C-101B-9397-08002B2CF9AE}" pid="6" name="Producer">
    <vt:lpwstr>ONLYOFFICE/8.2.1.38</vt:lpwstr>
  </property>
</Properties>
</file>