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7"/>
        <w:pBdr/>
        <w:spacing/>
        <w:ind/>
        <w:rPr/>
      </w:pPr>
      <w:r/>
      <w:r/>
    </w:p>
    <w:p>
      <w:pPr>
        <w:pStyle w:val="957"/>
        <w:pBdr/>
        <w:spacing w:before="81"/>
        <w:ind/>
        <w:rPr/>
      </w:pPr>
      <w:r/>
      <w:r/>
    </w:p>
    <w:p>
      <w:pPr>
        <w:pStyle w:val="957"/>
        <w:pBdr/>
        <w:spacing/>
        <w:ind w:left="141"/>
        <w:rPr/>
      </w:pPr>
      <w:r>
        <w:rPr>
          <w:color w:val="1f4c78"/>
        </w:rPr>
        <w:t xml:space="preserve">Allegato</w:t>
      </w:r>
      <w:r>
        <w:rPr>
          <w:color w:val="1f4c78"/>
          <w:spacing w:val="-12"/>
        </w:rPr>
        <w:t xml:space="preserve"> </w:t>
      </w:r>
      <w:r>
        <w:rPr>
          <w:color w:val="1f4c78"/>
        </w:rPr>
        <w:t xml:space="preserve">6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-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Modello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per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la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richiesta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 xml:space="preserve">del</w:t>
      </w:r>
      <w:r>
        <w:rPr>
          <w:color w:val="1f4c78"/>
          <w:spacing w:val="-11"/>
        </w:rPr>
        <w:t xml:space="preserve"> </w:t>
      </w:r>
      <w:r>
        <w:rPr>
          <w:color w:val="1f4c78"/>
          <w:spacing w:val="-2"/>
        </w:rPr>
        <w:t xml:space="preserve">saldo</w:t>
      </w:r>
      <w:r/>
    </w:p>
    <w:p>
      <w:pPr>
        <w:pStyle w:val="957"/>
        <w:pBdr/>
        <w:spacing w:before="266"/>
        <w:ind/>
        <w:rPr/>
      </w:pPr>
      <w:r/>
      <w:r/>
    </w:p>
    <w:p>
      <w:pPr>
        <w:pBdr/>
        <w:tabs>
          <w:tab w:val="left" w:leader="none" w:pos="6317"/>
          <w:tab w:val="left" w:leader="none" w:pos="7813"/>
        </w:tabs>
        <w:spacing/>
        <w:ind w:right="620" w:hanging="990" w:left="1131"/>
        <w:rPr>
          <w:b/>
        </w:rPr>
      </w:pPr>
      <w:r>
        <w:rPr>
          <w:b/>
        </w:rPr>
        <w:t xml:space="preserve">OGGETTO: [</w:t>
      </w:r>
      <w:r>
        <w:rPr>
          <w:b/>
          <w:i/>
          <w:color w:val="000000" w:themeColor="text1"/>
        </w:rPr>
        <w:t xml:space="preserve">titolo Operazione</w:t>
      </w:r>
      <w:r>
        <w:rPr>
          <w:b/>
          <w:color w:val="000000" w:themeColor="text1"/>
        </w:rPr>
        <w:t xml:space="preserve">] – </w:t>
      </w:r>
      <w:r>
        <w:rPr>
          <w:b/>
        </w:rPr>
        <w:t xml:space="preserve">progetto a valere sull’OS 4.5 - Azione 4.5.2 del</w:t>
      </w:r>
      <w:r>
        <w:rPr>
          <w:b/>
          <w:spacing w:val="-12"/>
        </w:rPr>
        <w:t xml:space="preserve"> </w:t>
      </w:r>
      <w:r>
        <w:rPr>
          <w:b/>
        </w:rPr>
        <w:t xml:space="preserve">PR</w:t>
      </w:r>
      <w:r>
        <w:rPr>
          <w:b/>
          <w:spacing w:val="-12"/>
        </w:rPr>
        <w:t xml:space="preserve"> </w:t>
      </w:r>
      <w:r>
        <w:rPr>
          <w:b/>
        </w:rPr>
        <w:t xml:space="preserve">FESR</w:t>
      </w:r>
      <w:r>
        <w:rPr>
          <w:b/>
          <w:spacing w:val="-12"/>
        </w:rPr>
        <w:t xml:space="preserve"> </w:t>
      </w:r>
      <w:r>
        <w:rPr>
          <w:b/>
        </w:rPr>
        <w:t xml:space="preserve">Sicilia </w:t>
      </w:r>
      <w:r>
        <w:rPr>
          <w:b/>
          <w:spacing w:val="-2"/>
        </w:rPr>
        <w:t xml:space="preserve">2021-2027</w:t>
      </w:r>
      <w:r>
        <w:rPr>
          <w:b/>
        </w:rPr>
      </w:r>
    </w:p>
    <w:p>
      <w:pPr>
        <w:pStyle w:val="770"/>
        <w:pBdr/>
        <w:tabs>
          <w:tab w:val="left" w:leader="none" w:pos="3580"/>
        </w:tabs>
        <w:spacing/>
        <w:ind w:left="1131"/>
        <w:jc w:val="left"/>
        <w:rPr>
          <w:rFonts w:ascii="Times New Roman"/>
          <w:b w:val="0"/>
        </w:rPr>
      </w:pPr>
      <w:r>
        <w:t xml:space="preserve">CUP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</w:r>
    </w:p>
    <w:p>
      <w:pPr>
        <w:pStyle w:val="771"/>
        <w:pBdr/>
        <w:tabs>
          <w:tab w:val="left" w:leader="none" w:pos="4040"/>
        </w:tabs>
        <w:spacing/>
        <w:ind/>
        <w:rPr>
          <w:rFonts w:ascii="Times New Roman"/>
          <w:b w:val="0"/>
        </w:rPr>
      </w:pPr>
      <w:r>
        <w:t xml:space="preserve">Codice Caronte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</w:r>
    </w:p>
    <w:p>
      <w:pPr>
        <w:pBdr/>
        <w:spacing/>
        <w:ind w:left="1131"/>
        <w:rPr>
          <w:b/>
        </w:rPr>
      </w:pPr>
      <w:r>
        <w:rPr>
          <w:b/>
        </w:rPr>
        <w:t xml:space="preserve">Richiesta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 xml:space="preserve">saldo</w:t>
      </w:r>
      <w:r>
        <w:rPr>
          <w:b/>
        </w:rPr>
      </w:r>
    </w:p>
    <w:p>
      <w:pPr>
        <w:pStyle w:val="957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957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957"/>
        <w:pBdr/>
        <w:tabs>
          <w:tab w:val="left" w:leader="dot" w:pos="9597"/>
        </w:tabs>
        <w:spacing/>
        <w:ind w:left="141"/>
        <w:rPr/>
      </w:pPr>
      <w:r>
        <w:t xml:space="preserve">Il/La</w:t>
      </w:r>
      <w:r>
        <w:rPr>
          <w:spacing w:val="14"/>
        </w:rPr>
        <w:t xml:space="preserve"> </w:t>
      </w:r>
      <w:r>
        <w:t xml:space="preserve">sottoscritto/a</w:t>
      </w:r>
      <w:r>
        <w:rPr>
          <w:spacing w:val="15"/>
        </w:rPr>
        <w:t xml:space="preserve"> </w:t>
      </w:r>
      <w:r>
        <w:t xml:space="preserve">…………………….</w:t>
      </w:r>
      <w:r>
        <w:rPr>
          <w:spacing w:val="15"/>
        </w:rPr>
        <w:t xml:space="preserve"> </w:t>
      </w:r>
      <w:r>
        <w:t xml:space="preserve">nato/a</w:t>
      </w:r>
      <w:r>
        <w:rPr>
          <w:spacing w:val="14"/>
        </w:rPr>
        <w:t xml:space="preserve"> </w:t>
      </w:r>
      <w:r>
        <w:t xml:space="preserve">a</w:t>
      </w:r>
      <w:r>
        <w:rPr>
          <w:spacing w:val="15"/>
        </w:rPr>
        <w:t xml:space="preserve"> </w:t>
      </w:r>
      <w:r>
        <w:t xml:space="preserve">………………………</w:t>
      </w:r>
      <w:r>
        <w:rPr>
          <w:spacing w:val="15"/>
        </w:rPr>
        <w:t xml:space="preserve"> </w:t>
      </w:r>
      <w:r>
        <w:t xml:space="preserve">(….</w:t>
      </w:r>
      <w:r>
        <w:t xml:space="preserve">)</w:t>
      </w:r>
      <w:r>
        <w:rPr>
          <w:spacing w:val="14"/>
        </w:rPr>
        <w:t xml:space="preserve"> </w:t>
      </w:r>
      <w:r>
        <w:t xml:space="preserve">il……………</w:t>
      </w:r>
      <w:r>
        <w:rPr>
          <w:spacing w:val="15"/>
        </w:rPr>
        <w:t xml:space="preserve"> </w:t>
      </w:r>
      <w:r>
        <w:t xml:space="preserve">CF</w:t>
      </w:r>
      <w:r>
        <w:rPr>
          <w:spacing w:val="15"/>
        </w:rPr>
        <w:t xml:space="preserve"> </w:t>
      </w:r>
      <w:r>
        <w:t xml:space="preserve">…………………..</w:t>
      </w:r>
      <w:r>
        <w:rPr>
          <w:spacing w:val="15"/>
        </w:rPr>
        <w:t xml:space="preserve"> </w:t>
      </w:r>
      <w:r>
        <w:rPr>
          <w:spacing w:val="-5"/>
        </w:rPr>
        <w:t xml:space="preserve">Tel</w:t>
      </w:r>
      <w:r>
        <w:rPr>
          <w:rFonts w:ascii="Times New Roman" w:hAnsi="Times New Roman"/>
        </w:rPr>
        <w:tab/>
      </w:r>
      <w:r>
        <w:t xml:space="preserve">e-</w:t>
      </w:r>
      <w:r/>
    </w:p>
    <w:p>
      <w:pPr>
        <w:pStyle w:val="957"/>
        <w:pBdr/>
        <w:tabs>
          <w:tab w:val="left" w:leader="dot" w:pos="1747"/>
        </w:tabs>
        <w:spacing/>
        <w:ind w:left="141"/>
        <w:rPr/>
      </w:pPr>
      <w:r>
        <w:rPr>
          <w:spacing w:val="-4"/>
        </w:rPr>
        <w:t xml:space="preserve">mail</w:t>
      </w:r>
      <w:r>
        <w:rPr>
          <w:rFonts w:ascii="Times New Roman" w:hAnsi="Times New Roman"/>
        </w:rPr>
        <w:tab/>
      </w:r>
      <w:r>
        <w:t xml:space="preserve">,</w:t>
      </w:r>
      <w:r>
        <w:rPr>
          <w:spacing w:val="-4"/>
        </w:rPr>
        <w:t xml:space="preserve"> </w:t>
      </w:r>
      <w:r>
        <w:t xml:space="preserve">in</w:t>
      </w:r>
      <w:r>
        <w:rPr>
          <w:spacing w:val="-3"/>
        </w:rPr>
        <w:t xml:space="preserve"> </w:t>
      </w:r>
      <w:r>
        <w:t xml:space="preserve">qualità</w:t>
      </w:r>
      <w:r>
        <w:rPr>
          <w:spacing w:val="-3"/>
        </w:rPr>
        <w:t xml:space="preserve"> </w:t>
      </w:r>
      <w:r>
        <w:t xml:space="preserve">di</w:t>
      </w:r>
      <w:r>
        <w:rPr>
          <w:spacing w:val="-3"/>
        </w:rPr>
        <w:t xml:space="preserve"> </w:t>
      </w:r>
      <w:r>
        <w:t xml:space="preserve">legale</w:t>
      </w:r>
      <w:r>
        <w:rPr>
          <w:spacing w:val="-4"/>
        </w:rPr>
        <w:t xml:space="preserve"> </w:t>
      </w:r>
      <w:r>
        <w:t xml:space="preserve">rappresentante</w:t>
      </w:r>
      <w:r>
        <w:rPr>
          <w:spacing w:val="-3"/>
        </w:rPr>
        <w:t xml:space="preserve"> </w:t>
      </w:r>
      <w:r>
        <w:t xml:space="preserve">del</w:t>
      </w:r>
      <w:r>
        <w:rPr>
          <w:spacing w:val="-3"/>
        </w:rPr>
        <w:t xml:space="preserve"> </w:t>
      </w:r>
      <w:r>
        <w:t xml:space="preserve">Beneficiario</w:t>
      </w:r>
      <w:r>
        <w:rPr>
          <w:spacing w:val="-3"/>
        </w:rPr>
        <w:t xml:space="preserve"> </w:t>
      </w:r>
      <w:r>
        <w:t xml:space="preserve">ammesso</w:t>
      </w:r>
      <w:r>
        <w:rPr>
          <w:spacing w:val="-4"/>
        </w:rPr>
        <w:t xml:space="preserve"> </w:t>
      </w:r>
      <w:r>
        <w:t xml:space="preserve">a</w:t>
      </w:r>
      <w:r>
        <w:rPr>
          <w:spacing w:val="-3"/>
        </w:rPr>
        <w:t xml:space="preserve"> </w:t>
      </w:r>
      <w:r>
        <w:t xml:space="preserve">contributo</w:t>
      </w:r>
      <w:r>
        <w:rPr>
          <w:spacing w:val="-3"/>
        </w:rPr>
        <w:t xml:space="preserve"> </w:t>
      </w:r>
      <w:r>
        <w:t xml:space="preserve">con</w:t>
      </w:r>
      <w:r>
        <w:rPr>
          <w:spacing w:val="-3"/>
        </w:rPr>
        <w:t xml:space="preserve"> </w:t>
      </w:r>
      <w:r>
        <w:t xml:space="preserve">Decreto</w:t>
      </w:r>
      <w:r>
        <w:rPr>
          <w:spacing w:val="-3"/>
        </w:rPr>
        <w:t xml:space="preserve"> </w:t>
      </w:r>
      <w:r>
        <w:rPr>
          <w:spacing w:val="-5"/>
        </w:rPr>
        <w:t xml:space="preserve">di</w:t>
      </w:r>
      <w:r/>
    </w:p>
    <w:p>
      <w:pPr>
        <w:pStyle w:val="957"/>
        <w:pBdr/>
        <w:tabs>
          <w:tab w:val="left" w:leader="none" w:pos="2075"/>
          <w:tab w:val="left" w:leader="none" w:pos="2779"/>
          <w:tab w:val="left" w:leader="none" w:pos="8872"/>
        </w:tabs>
        <w:spacing/>
        <w:ind w:left="141"/>
        <w:rPr>
          <w:rFonts w:ascii="Times New Roman"/>
        </w:rPr>
      </w:pPr>
      <w:r>
        <w:t xml:space="preserve">finanziamento</w:t>
      </w:r>
      <w:r>
        <w:rPr>
          <w:spacing w:val="-1"/>
        </w:rPr>
        <w:t xml:space="preserve"> </w:t>
      </w:r>
      <w:r>
        <w:t xml:space="preserve">n.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  <w:r>
        <w:t xml:space="preserve">per</w:t>
      </w:r>
      <w:r>
        <w:rPr>
          <w:spacing w:val="-2"/>
        </w:rPr>
        <w:t xml:space="preserve"> </w:t>
      </w:r>
      <w:r>
        <w:t xml:space="preserve">un</w:t>
      </w:r>
      <w:r>
        <w:rPr>
          <w:spacing w:val="-2"/>
        </w:rPr>
        <w:t xml:space="preserve"> </w:t>
      </w:r>
      <w:r>
        <w:t xml:space="preserve">importo</w:t>
      </w:r>
      <w:r>
        <w:rPr>
          <w:spacing w:val="-2"/>
        </w:rPr>
        <w:t xml:space="preserve"> </w:t>
      </w:r>
      <w:r>
        <w:t xml:space="preserve">del</w:t>
      </w:r>
      <w:r>
        <w:rPr>
          <w:spacing w:val="-2"/>
        </w:rPr>
        <w:t xml:space="preserve"> </w:t>
      </w:r>
      <w:r>
        <w:t xml:space="preserve">contributo</w:t>
      </w:r>
      <w:r>
        <w:rPr>
          <w:spacing w:val="-2"/>
        </w:rPr>
        <w:t xml:space="preserve"> </w:t>
      </w:r>
      <w:r>
        <w:t xml:space="preserve">pari</w:t>
      </w:r>
      <w:r>
        <w:rPr>
          <w:spacing w:val="-2"/>
        </w:rPr>
        <w:t xml:space="preserve"> </w:t>
      </w:r>
      <w:r>
        <w:t xml:space="preserve">a</w:t>
      </w:r>
      <w:r>
        <w:rPr>
          <w:spacing w:val="-2"/>
        </w:rPr>
        <w:t xml:space="preserve"> </w:t>
      </w:r>
      <w:r>
        <w:t xml:space="preserve">Euro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</w:r>
    </w:p>
    <w:p>
      <w:pPr>
        <w:pStyle w:val="957"/>
        <w:pBdr/>
        <w:spacing w:before="39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770"/>
        <w:pBdr/>
        <w:spacing w:before="1"/>
        <w:ind w:right="353" w:left="162"/>
        <w:rPr/>
      </w:pPr>
      <w:r>
        <w:rPr>
          <w:spacing w:val="-2"/>
        </w:rPr>
        <w:t xml:space="preserve">RICHEDE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  <w:tab w:val="left" w:leader="dot" w:pos="6412"/>
        </w:tabs>
        <w:spacing/>
        <w:ind w:left="861"/>
        <w:jc w:val="left"/>
        <w:rPr/>
      </w:pPr>
      <w:r>
        <w:t xml:space="preserve">l’erogazione</w:t>
      </w:r>
      <w:r>
        <w:rPr>
          <w:spacing w:val="-4"/>
        </w:rPr>
        <w:t xml:space="preserve"> </w:t>
      </w:r>
      <w:r>
        <w:t xml:space="preserve">della</w:t>
      </w:r>
      <w:r>
        <w:rPr>
          <w:spacing w:val="-3"/>
        </w:rPr>
        <w:t xml:space="preserve"> </w:t>
      </w:r>
      <w:r>
        <w:t xml:space="preserve">quota</w:t>
      </w:r>
      <w:r>
        <w:rPr>
          <w:spacing w:val="-3"/>
        </w:rPr>
        <w:t xml:space="preserve"> </w:t>
      </w:r>
      <w:r>
        <w:t xml:space="preserve">di</w:t>
      </w:r>
      <w:r>
        <w:rPr>
          <w:spacing w:val="-4"/>
        </w:rPr>
        <w:t xml:space="preserve"> </w:t>
      </w:r>
      <w:r>
        <w:t xml:space="preserve">saldo</w:t>
      </w:r>
      <w:r>
        <w:rPr>
          <w:spacing w:val="-3"/>
        </w:rPr>
        <w:t xml:space="preserve"> </w:t>
      </w:r>
      <w:r>
        <w:t xml:space="preserve">pari</w:t>
      </w:r>
      <w:r>
        <w:rPr>
          <w:spacing w:val="-3"/>
        </w:rPr>
        <w:t xml:space="preserve"> </w:t>
      </w:r>
      <w:r>
        <w:t xml:space="preserve">ad</w:t>
      </w:r>
      <w:r>
        <w:rPr>
          <w:spacing w:val="-3"/>
        </w:rPr>
        <w:t xml:space="preserve"> </w:t>
      </w:r>
      <w:r>
        <w:rPr>
          <w:spacing w:val="-4"/>
        </w:rPr>
        <w:t xml:space="preserve">euro</w:t>
      </w:r>
      <w:r>
        <w:rPr>
          <w:rFonts w:ascii="Times New Roman" w:hAnsi="Times New Roman"/>
        </w:rPr>
        <w:tab/>
      </w:r>
      <w:r>
        <w:rPr>
          <w:spacing w:val="-10"/>
        </w:rPr>
        <w:t xml:space="preserve">,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  <w:tab w:val="left" w:leader="none" w:pos="4769"/>
        </w:tabs>
        <w:spacing/>
        <w:ind w:right="292" w:left="861"/>
        <w:jc w:val="left"/>
        <w:rPr>
          <w:rFonts w:ascii="Times New Roman" w:hAnsi="Times New Roman"/>
        </w:rPr>
      </w:pPr>
      <w:r>
        <w:t xml:space="preserve">che il suddetto pagamento, richiesto a titolo di saldo sia accreditato sul seguente conto corrente</w:t>
      </w:r>
      <w:r>
        <w:rPr>
          <w:spacing w:val="80"/>
        </w:rPr>
        <w:t xml:space="preserve"> </w:t>
      </w:r>
      <w:r>
        <w:t xml:space="preserve">bancario intestato al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</w:r>
    </w:p>
    <w:p>
      <w:pPr>
        <w:pStyle w:val="957"/>
        <w:pBdr/>
        <w:spacing w:before="15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771"/>
        <w:pBdr/>
        <w:spacing/>
        <w:ind w:left="141"/>
        <w:jc w:val="both"/>
        <w:rPr/>
      </w:pPr>
      <w:r>
        <w:t xml:space="preserve">A</w:t>
      </w:r>
      <w:r>
        <w:rPr>
          <w:spacing w:val="-2"/>
        </w:rPr>
        <w:t xml:space="preserve"> </w:t>
      </w:r>
      <w:r>
        <w:t xml:space="preserve">tal</w:t>
      </w:r>
      <w:r>
        <w:rPr>
          <w:spacing w:val="-2"/>
        </w:rPr>
        <w:t xml:space="preserve"> </w:t>
      </w:r>
      <w:r>
        <w:t xml:space="preserve">fine</w:t>
      </w:r>
      <w:r>
        <w:rPr>
          <w:spacing w:val="-1"/>
        </w:rPr>
        <w:t xml:space="preserve"> </w:t>
      </w:r>
      <w:r>
        <w:rPr>
          <w:spacing w:val="-2"/>
        </w:rPr>
        <w:t xml:space="preserve">allega: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91" w:left="861"/>
        <w:rPr/>
      </w:pPr>
      <w:r>
        <w:t xml:space="preserve">Prospetto riepilogativo delle somme a saldo richieste con la presente istanza ripartite per singola voce di costo secondo lo schema di cui all’allegato all’Avviso di selezione;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0"/>
        </w:tabs>
        <w:spacing/>
        <w:ind w:hanging="359" w:left="860"/>
        <w:rPr/>
      </w:pPr>
      <w:r>
        <w:t xml:space="preserve">Stato</w:t>
      </w:r>
      <w:r>
        <w:rPr>
          <w:spacing w:val="-5"/>
        </w:rPr>
        <w:t xml:space="preserve"> </w:t>
      </w:r>
      <w:r>
        <w:t xml:space="preserve">finale</w:t>
      </w:r>
      <w:r>
        <w:rPr>
          <w:spacing w:val="-4"/>
        </w:rPr>
        <w:t xml:space="preserve"> </w:t>
      </w:r>
      <w:r>
        <w:t xml:space="preserve">dei</w:t>
      </w:r>
      <w:r>
        <w:rPr>
          <w:spacing w:val="-5"/>
        </w:rPr>
        <w:t xml:space="preserve"> </w:t>
      </w:r>
      <w:r>
        <w:t xml:space="preserve">lavori</w:t>
      </w:r>
      <w:r>
        <w:rPr>
          <w:spacing w:val="-4"/>
        </w:rPr>
        <w:t xml:space="preserve"> </w:t>
      </w:r>
      <w:r>
        <w:t xml:space="preserve">citato</w:t>
      </w:r>
      <w:r>
        <w:rPr>
          <w:spacing w:val="-4"/>
        </w:rPr>
        <w:t xml:space="preserve"> </w:t>
      </w:r>
      <w:r>
        <w:t xml:space="preserve">nel</w:t>
      </w:r>
      <w:r>
        <w:rPr>
          <w:spacing w:val="-5"/>
        </w:rPr>
        <w:t xml:space="preserve"> </w:t>
      </w:r>
      <w:r>
        <w:t xml:space="preserve">prospetto</w:t>
      </w:r>
      <w:r>
        <w:rPr>
          <w:spacing w:val="-4"/>
        </w:rPr>
        <w:t xml:space="preserve"> </w:t>
      </w:r>
      <w:r>
        <w:t xml:space="preserve">riepilogativo</w:t>
      </w:r>
      <w:r>
        <w:rPr>
          <w:spacing w:val="-5"/>
        </w:rPr>
        <w:t xml:space="preserve"> </w:t>
      </w:r>
      <w:r>
        <w:t xml:space="preserve">delle</w:t>
      </w:r>
      <w:r>
        <w:rPr>
          <w:spacing w:val="-4"/>
        </w:rPr>
        <w:t xml:space="preserve"> </w:t>
      </w:r>
      <w:r>
        <w:t xml:space="preserve">somme</w:t>
      </w:r>
      <w:r>
        <w:rPr>
          <w:spacing w:val="-4"/>
        </w:rPr>
        <w:t xml:space="preserve"> </w:t>
      </w:r>
      <w:r>
        <w:rPr>
          <w:spacing w:val="-2"/>
        </w:rPr>
        <w:t xml:space="preserve">richiest</w:t>
      </w:r>
      <w:r>
        <w:rPr>
          <w:spacing w:val="-2"/>
        </w:rPr>
        <w:t xml:space="preserve">e.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  <w:tab w:val="left" w:leader="none" w:pos="8888"/>
        </w:tabs>
        <w:spacing/>
        <w:ind w:right="282" w:left="861"/>
        <w:rPr/>
      </w:pPr>
      <w:r>
        <w:t xml:space="preserve">Documenti contabili attestanti la spesa, corredati delle relative quietanze, annullati mediante inserimento del CUP dell’operazione e della dicitura </w:t>
      </w:r>
      <w:r>
        <w:rPr>
          <w:i/>
        </w:rPr>
        <w:t xml:space="preserve">“Documento contabile finanziato a valere sul</w:t>
      </w:r>
      <w:r>
        <w:rPr>
          <w:i/>
          <w:spacing w:val="40"/>
        </w:rPr>
        <w:t xml:space="preserve"> </w:t>
      </w:r>
      <w:r>
        <w:rPr>
          <w:i/>
        </w:rPr>
        <w:t xml:space="preserve">PR Sicilia FESR 2021-2027 – ammesso per l’intero importo o </w:t>
      </w:r>
      <w:r>
        <w:rPr>
          <w:i/>
        </w:rPr>
        <w:t xml:space="preserve">per l’importo di euro </w:t>
      </w:r>
      <w:r>
        <w:rPr>
          <w:rFonts w:ascii="Times New Roman" w:hAnsi="Times New Roman"/>
          <w:u w:val="single"/>
        </w:rPr>
        <w:tab/>
      </w:r>
      <w:r>
        <w:rPr>
          <w:i/>
        </w:rPr>
        <w:t xml:space="preserve">”;</w:t>
      </w:r>
      <w:r>
        <w:rPr>
          <w:i/>
          <w:spacing w:val="-13"/>
        </w:rPr>
        <w:t xml:space="preserve"> </w:t>
      </w:r>
      <w:r>
        <w:t xml:space="preserve">ovvero, dichiarazione sostitutiva di atto notorio ai sensi del DPR 445/2000;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91" w:left="861"/>
        <w:rPr/>
      </w:pPr>
      <w:r>
        <w:t xml:space="preserve">Modello di rendicontazione delle spese sostenute, redatto secondo il format allegato all’Avviso di selezione, corredato dalla documentazione comprovante </w:t>
      </w:r>
      <w:r>
        <w:t xml:space="preserve">tali spese;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88" w:left="861"/>
        <w:rPr/>
      </w:pPr>
      <w:r>
        <w:t xml:space="preserve">Certificato di Collaudo o di regolare esecuzione (a seconda dell’opzione adottata dall’amministrazione in relazione alla soglia finanziaria dell’intervento</w:t>
      </w:r>
      <w:r>
        <w:t xml:space="preserve">) 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0"/>
        </w:tabs>
        <w:spacing/>
        <w:ind w:hanging="359" w:left="860"/>
        <w:rPr/>
      </w:pPr>
      <w:r>
        <w:t xml:space="preserve">Dichiarazione</w:t>
      </w:r>
      <w:r>
        <w:rPr>
          <w:spacing w:val="-6"/>
        </w:rPr>
        <w:t xml:space="preserve"> </w:t>
      </w:r>
      <w:r>
        <w:t xml:space="preserve">attestante</w:t>
      </w:r>
      <w:r>
        <w:rPr>
          <w:spacing w:val="-5"/>
        </w:rPr>
        <w:t xml:space="preserve"> </w:t>
      </w:r>
      <w:r>
        <w:t xml:space="preserve">la</w:t>
      </w:r>
      <w:r>
        <w:rPr>
          <w:spacing w:val="-6"/>
        </w:rPr>
        <w:t xml:space="preserve"> </w:t>
      </w:r>
      <w:r>
        <w:t xml:space="preserve">piena</w:t>
      </w:r>
      <w:r>
        <w:rPr>
          <w:spacing w:val="-5"/>
        </w:rPr>
        <w:t xml:space="preserve"> </w:t>
      </w:r>
      <w:r>
        <w:t xml:space="preserve">funzionalità</w:t>
      </w:r>
      <w:r>
        <w:rPr>
          <w:spacing w:val="-5"/>
        </w:rPr>
        <w:t xml:space="preserve"> </w:t>
      </w:r>
      <w:r>
        <w:rPr>
          <w:spacing w:val="-2"/>
        </w:rPr>
        <w:t xml:space="preserve">dell’opera;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88" w:left="861"/>
        <w:rPr>
          <w:color w:val="000000" w:themeColor="text1"/>
        </w:rPr>
      </w:pPr>
      <w:r>
        <w:t xml:space="preserve">scheda per la verifica e i</w:t>
      </w:r>
      <w:r>
        <w:t xml:space="preserve">l controllo per garantire la conformità al principio di non arrecare danno significativo (DNSH) compilata e sottoscritta nella sezione Ex-post </w:t>
      </w:r>
      <w:r>
        <w:rPr>
          <w:color w:val="000000" w:themeColor="text1"/>
        </w:rPr>
        <w:t xml:space="preserve">[</w:t>
      </w:r>
      <w:r>
        <w:rPr>
          <w:i/>
          <w:color w:val="000000" w:themeColor="text1"/>
        </w:rPr>
        <w:t xml:space="preserve">se ricorre il caso</w:t>
      </w:r>
      <w:r>
        <w:rPr>
          <w:color w:val="000000" w:themeColor="text1"/>
        </w:rPr>
        <w:t xml:space="preserve">];</w:t>
      </w:r>
      <w:r>
        <w:rPr>
          <w:color w:val="000000" w:themeColor="text1"/>
        </w:rPr>
      </w:r>
    </w:p>
    <w:p>
      <w:pPr>
        <w:pStyle w:val="958"/>
        <w:numPr>
          <w:ilvl w:val="0"/>
          <w:numId w:val="1"/>
        </w:numPr>
        <w:pBdr/>
        <w:tabs>
          <w:tab w:val="left" w:leader="none" w:pos="860"/>
        </w:tabs>
        <w:spacing/>
        <w:ind w:hanging="359" w:left="860"/>
        <w:rPr/>
      </w:pPr>
      <w:r>
        <w:t xml:space="preserve">Altro</w:t>
      </w:r>
      <w:r>
        <w:rPr>
          <w:spacing w:val="-7"/>
        </w:rPr>
        <w:t xml:space="preserve"> </w:t>
      </w:r>
      <w:r>
        <w:t xml:space="preserve">[specificare</w:t>
      </w:r>
      <w:r>
        <w:rPr>
          <w:spacing w:val="-7"/>
        </w:rPr>
        <w:t xml:space="preserve"> </w:t>
      </w:r>
      <w:r>
        <w:t xml:space="preserve">eventuale</w:t>
      </w:r>
      <w:r>
        <w:rPr>
          <w:spacing w:val="-7"/>
        </w:rPr>
        <w:t xml:space="preserve"> </w:t>
      </w:r>
      <w:r>
        <w:t xml:space="preserve">ulteriore</w:t>
      </w:r>
      <w:r>
        <w:rPr>
          <w:spacing w:val="-7"/>
        </w:rPr>
        <w:t xml:space="preserve"> </w:t>
      </w:r>
      <w:r>
        <w:rPr>
          <w:spacing w:val="-2"/>
        </w:rPr>
        <w:t xml:space="preserve">documentazione]</w:t>
      </w:r>
      <w:r/>
    </w:p>
    <w:p>
      <w:pPr>
        <w:pStyle w:val="957"/>
        <w:pBdr/>
        <w:spacing/>
        <w:ind/>
        <w:rPr/>
      </w:pPr>
      <w:r/>
      <w:r/>
    </w:p>
    <w:p>
      <w:pPr>
        <w:pStyle w:val="770"/>
        <w:pBdr/>
        <w:spacing/>
        <w:ind w:right="353" w:left="162"/>
        <w:rPr/>
      </w:pPr>
      <w:r>
        <w:rPr>
          <w:spacing w:val="-2"/>
        </w:rPr>
        <w:t xml:space="preserve">DICHIARA</w:t>
      </w:r>
      <w:r/>
    </w:p>
    <w:p>
      <w:pPr>
        <w:pStyle w:val="957"/>
        <w:pBdr/>
        <w:spacing w:before="24"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957"/>
        <w:pBdr/>
        <w:spacing/>
        <w:ind w:left="141"/>
        <w:jc w:val="both"/>
        <w:rPr/>
      </w:pPr>
      <w:r>
        <w:t xml:space="preserve">Ai</w:t>
      </w:r>
      <w:r>
        <w:rPr>
          <w:spacing w:val="-5"/>
        </w:rPr>
        <w:t xml:space="preserve"> </w:t>
      </w:r>
      <w:r>
        <w:t xml:space="preserve">sensi</w:t>
      </w:r>
      <w:r>
        <w:rPr>
          <w:spacing w:val="-2"/>
        </w:rPr>
        <w:t xml:space="preserve"> </w:t>
      </w:r>
      <w:r>
        <w:t xml:space="preserve">degli</w:t>
      </w:r>
      <w:r>
        <w:rPr>
          <w:spacing w:val="-2"/>
        </w:rPr>
        <w:t xml:space="preserve"> </w:t>
      </w:r>
      <w:r>
        <w:t xml:space="preserve">art.</w:t>
      </w:r>
      <w:r>
        <w:rPr>
          <w:spacing w:val="-3"/>
        </w:rPr>
        <w:t xml:space="preserve"> </w:t>
      </w:r>
      <w:r>
        <w:t xml:space="preserve">46</w:t>
      </w:r>
      <w:r>
        <w:rPr>
          <w:spacing w:val="-2"/>
        </w:rPr>
        <w:t xml:space="preserve"> </w:t>
      </w:r>
      <w:r>
        <w:t xml:space="preserve">e</w:t>
      </w:r>
      <w:r>
        <w:rPr>
          <w:spacing w:val="-2"/>
        </w:rPr>
        <w:t xml:space="preserve"> </w:t>
      </w:r>
      <w:r>
        <w:t xml:space="preserve">47</w:t>
      </w:r>
      <w:r>
        <w:rPr>
          <w:spacing w:val="-3"/>
        </w:rPr>
        <w:t xml:space="preserve"> </w:t>
      </w:r>
      <w:r>
        <w:t xml:space="preserve">del</w:t>
      </w:r>
      <w:r>
        <w:rPr>
          <w:spacing w:val="-2"/>
        </w:rPr>
        <w:t xml:space="preserve"> </w:t>
      </w:r>
      <w:r>
        <w:t xml:space="preserve">DPR</w:t>
      </w:r>
      <w:r>
        <w:rPr>
          <w:spacing w:val="-2"/>
        </w:rPr>
        <w:t xml:space="preserve"> </w:t>
      </w:r>
      <w:r>
        <w:t xml:space="preserve">28</w:t>
      </w:r>
      <w:r>
        <w:rPr>
          <w:spacing w:val="-3"/>
        </w:rPr>
        <w:t xml:space="preserve"> </w:t>
      </w:r>
      <w:r>
        <w:t xml:space="preserve">dicembre</w:t>
      </w:r>
      <w:r>
        <w:rPr>
          <w:spacing w:val="-2"/>
        </w:rPr>
        <w:t xml:space="preserve"> </w:t>
      </w:r>
      <w:r>
        <w:t xml:space="preserve">2000,</w:t>
      </w:r>
      <w:r>
        <w:rPr>
          <w:spacing w:val="-2"/>
        </w:rPr>
        <w:t xml:space="preserve"> </w:t>
      </w:r>
      <w:r>
        <w:t xml:space="preserve">n.</w:t>
      </w:r>
      <w:r>
        <w:rPr>
          <w:spacing w:val="-2"/>
        </w:rPr>
        <w:t xml:space="preserve"> </w:t>
      </w:r>
      <w:r>
        <w:rPr>
          <w:spacing w:val="-4"/>
        </w:rPr>
        <w:t xml:space="preserve">445,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2"/>
          <w:tab w:val="left" w:leader="none" w:pos="3546"/>
          <w:tab w:val="left" w:leader="none" w:pos="7058"/>
        </w:tabs>
        <w:spacing/>
        <w:ind w:right="289"/>
        <w:rPr>
          <w:rFonts w:ascii="Times New Roman" w:hAnsi="Times New Roman"/>
        </w:rPr>
      </w:pPr>
      <w:r>
        <w:t xml:space="preserve">che le attività realizzate alla data di ultimazione dell’operazione sono conformi a quanto dichiarato nell’istanza</w:t>
      </w:r>
      <w:r>
        <w:rPr>
          <w:spacing w:val="-1"/>
        </w:rPr>
        <w:t xml:space="preserve"> </w:t>
      </w:r>
      <w:r>
        <w:t xml:space="preserve">di</w:t>
      </w:r>
      <w:r>
        <w:rPr>
          <w:spacing w:val="-1"/>
        </w:rPr>
        <w:t xml:space="preserve"> </w:t>
      </w:r>
      <w:r>
        <w:t xml:space="preserve">contributo</w:t>
      </w:r>
      <w:r>
        <w:rPr>
          <w:spacing w:val="-1"/>
        </w:rPr>
        <w:t xml:space="preserve"> </w:t>
      </w:r>
      <w:r>
        <w:t xml:space="preserve">finanziario,</w:t>
      </w:r>
      <w:r>
        <w:rPr>
          <w:spacing w:val="-1"/>
        </w:rPr>
        <w:t xml:space="preserve"> </w:t>
      </w:r>
      <w:r>
        <w:t xml:space="preserve">nonché</w:t>
      </w:r>
      <w:r>
        <w:rPr>
          <w:spacing w:val="-1"/>
        </w:rPr>
        <w:t xml:space="preserve"> </w:t>
      </w:r>
      <w:r>
        <w:t xml:space="preserve">all’Operazione</w:t>
      </w:r>
      <w:r>
        <w:rPr>
          <w:spacing w:val="-1"/>
        </w:rPr>
        <w:t xml:space="preserve"> </w:t>
      </w:r>
      <w:r>
        <w:t xml:space="preserve">ammessa</w:t>
      </w:r>
      <w:r>
        <w:rPr>
          <w:spacing w:val="-1"/>
        </w:rPr>
        <w:t xml:space="preserve"> </w:t>
      </w:r>
      <w:r>
        <w:t xml:space="preserve">a</w:t>
      </w:r>
      <w:r>
        <w:rPr>
          <w:spacing w:val="-1"/>
        </w:rPr>
        <w:t xml:space="preserve"> </w:t>
      </w:r>
      <w:r>
        <w:t xml:space="preserve">contributo</w:t>
      </w:r>
      <w:r>
        <w:rPr>
          <w:spacing w:val="-1"/>
        </w:rPr>
        <w:t xml:space="preserve"> </w:t>
      </w:r>
      <w:r>
        <w:t xml:space="preserve">finanziario</w:t>
      </w:r>
      <w:r>
        <w:rPr>
          <w:spacing w:val="-1"/>
        </w:rPr>
        <w:t xml:space="preserve"> </w:t>
      </w:r>
      <w:r>
        <w:t xml:space="preserve">con</w:t>
      </w:r>
      <w:r>
        <w:rPr>
          <w:spacing w:val="-1"/>
        </w:rPr>
        <w:t xml:space="preserve"> </w:t>
      </w:r>
      <w:r>
        <w:t xml:space="preserve">il provvedimento </w:t>
      </w:r>
      <w:r>
        <w:t xml:space="preserve">di finanziamento n.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t xml:space="preserve">del </w:t>
      </w:r>
      <w:r>
        <w:rPr>
          <w:rFonts w:ascii="Times New Roman" w:hAnsi="Times New Roman"/>
          <w:u w:val="single"/>
        </w:rPr>
        <w:tab/>
      </w:r>
      <w:r>
        <w:t xml:space="preserve">per un ammontare finanziario pari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</w:r>
    </w:p>
    <w:p>
      <w:pPr>
        <w:pStyle w:val="958"/>
        <w:numPr>
          <w:ilvl w:val="0"/>
          <w:numId w:val="1"/>
        </w:numPr>
        <w:pBdr/>
        <w:tabs>
          <w:tab w:val="left" w:leader="none" w:pos="862"/>
          <w:tab w:val="left" w:leader="none" w:pos="5395"/>
        </w:tabs>
        <w:spacing/>
        <w:ind w:right="290"/>
        <w:rPr/>
      </w:pPr>
      <w:r>
        <w:t xml:space="preserve">che la tempistica di ultimazione dell’Operazione è coerente e conforme con le previsioni indicate nel Disciplinare sottoscritto in data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2"/>
        </w:tabs>
        <w:spacing/>
        <w:ind w:right="289"/>
        <w:rPr/>
      </w:pPr>
      <w:r>
        <w:t xml:space="preserve">che ogni adempimento procedurale finalizzato all’attuazione dell’operazione in oggetto è stato effettuato in ottemperanza al quadro normativo tracciato dal D. Lgs. 50/2016 e s.m.i. e dal D.Lgs. </w:t>
      </w:r>
      <w:r>
        <w:rPr>
          <w:spacing w:val="-2"/>
        </w:rPr>
        <w:t xml:space="preserve">36/2023;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2"/>
        </w:tabs>
        <w:spacing/>
        <w:ind w:right="289"/>
        <w:rPr/>
      </w:pPr>
      <w:r>
        <w:t xml:space="preserve">di accettare i controlli che la Regione Siciliana e/o</w:t>
      </w:r>
      <w:r>
        <w:t xml:space="preserve"> soggetto da essa indicato, nonché i funzionari autorizzati della Comunità europea e i loro rappresentanti autorizzati riterranno opportuno </w:t>
      </w:r>
      <w:r>
        <w:rPr>
          <w:spacing w:val="-2"/>
        </w:rPr>
        <w:t xml:space="preserve">effettuare;</w:t>
      </w:r>
      <w:r/>
    </w:p>
    <w:p>
      <w:pPr>
        <w:pStyle w:val="958"/>
        <w:pBdr/>
        <w:spacing/>
        <w:ind/>
        <w:rPr/>
        <w:sectPr>
          <w:headerReference w:type="default" r:id="rId9"/>
          <w:headerReference w:type="even" r:id="rId10"/>
          <w:footerReference w:type="default" r:id="rId12"/>
          <w:footerReference w:type="even" r:id="rId13"/>
          <w:footnotePr/>
          <w:endnotePr/>
          <w:type w:val="nextPage"/>
          <w:pgSz w:h="16840" w:orient="portrait" w:w="11910"/>
          <w:pgMar w:top="1160" w:right="850" w:bottom="280" w:left="992" w:header="439" w:footer="0" w:gutter="0"/>
          <w:pgNumType w:start="51"/>
          <w:cols w:num="1" w:sep="0" w:space="1701" w:equalWidth="1"/>
        </w:sectPr>
      </w:pPr>
      <w:r/>
      <w:r/>
    </w:p>
    <w:p>
      <w:pPr>
        <w:pBdr/>
        <w:spacing/>
        <w:ind w:left="220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50917" cy="447675"/>
                <wp:effectExtent l="0" t="0" r="0" b="0"/>
                <wp:docPr id="2" name="Image 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 51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50917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4.32pt;height:35.25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sz w:val="20"/>
        </w:rPr>
      </w:r>
    </w:p>
    <w:p>
      <w:pPr>
        <w:pStyle w:val="957"/>
        <w:pBdr/>
        <w:spacing/>
        <w:ind/>
        <w:rPr/>
      </w:pPr>
      <w:r/>
      <w:r/>
    </w:p>
    <w:p>
      <w:pPr>
        <w:pStyle w:val="957"/>
        <w:pBdr/>
        <w:spacing w:before="70"/>
        <w:ind/>
        <w:rPr/>
      </w:pPr>
      <w:r/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89" w:left="861"/>
        <w:rPr/>
      </w:pPr>
      <w:r>
        <w:t xml:space="preserve">di impegnarsi a conservare e mantenere la documentazione di spesa per un periodo di dieci anni a decorrere dal 31 dicembre successivo alla presentazione dei conti nei quali sono incluse le spese finali dell’Operazione completata;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90" w:left="861"/>
        <w:rPr/>
      </w:pPr>
      <w:r>
        <w:t xml:space="preserve">la propria più ampia dispo</w:t>
      </w:r>
      <w:r>
        <w:t xml:space="preserve">nibilità e collaborazione a fornire estratti o copie dei suddetti documenti alle persone o agli organismi che ne hanno diritto, compresi il personale autorizzato dell’Autorità di Gestione, dell’Organismo di Certificazione, e dell’Autorità di Audit, nonché </w:t>
      </w:r>
      <w:r>
        <w:t xml:space="preserve">i funzionari autorizzati della Comunità europea e i loro rappresentanti autorizzati;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88" w:left="861"/>
        <w:rPr/>
      </w:pPr>
      <w:r>
        <w:t xml:space="preserve">che sono state rispettate tutte le prescrizioni di legge nazionale e regionale, in materia di contrasto al lavoro non regolare, nonché le altre disposizioni nazionali e re</w:t>
      </w:r>
      <w:r>
        <w:t xml:space="preserve">gionali in materia di trasparenza dell’azione amministrativa, di tracciabilità dei pagamenti, di contrasto alla criminalità organizzata e di anticorruzione </w:t>
      </w:r>
      <w:r>
        <w:rPr>
          <w:i/>
        </w:rPr>
        <w:t xml:space="preserve">ex lege </w:t>
      </w:r>
      <w:r>
        <w:t xml:space="preserve">n. 190/2010;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90" w:left="861"/>
        <w:rPr/>
      </w:pPr>
      <w:r>
        <w:t xml:space="preserve">che non sono stati ottenuti, né richiesti, ulteriori rimborsi, contributi e int</w:t>
      </w:r>
      <w:r>
        <w:t xml:space="preserve">egrazioni di altri soggetti, pubblici o privati, nazionali, regionali, provinciali e/o comunitari (ovvero sono stati ottenuti o richiesti quali e in quale misura e su quali spese);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88" w:left="861"/>
        <w:rPr/>
      </w:pPr>
      <w:r>
        <w:t xml:space="preserve">che sono stati trasmessi alla Regione Siciliana i dati di monitoraggio econ</w:t>
      </w:r>
      <w:r>
        <w:t xml:space="preserve">omico, finanziario, fisico e procedurale e sono stati imputati nel sistema di monitoraggio economico, finanziario, fisico e procedurale, gli atti e la documentazione relativi alle varie fasi di realizzazione dell'Operazione;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0"/>
        </w:tabs>
        <w:spacing/>
        <w:ind w:hanging="359" w:left="860"/>
        <w:rPr/>
      </w:pPr>
      <w:r>
        <w:t xml:space="preserve">che</w:t>
      </w:r>
      <w:r>
        <w:rPr>
          <w:spacing w:val="-7"/>
        </w:rPr>
        <w:t xml:space="preserve"> </w:t>
      </w:r>
      <w:r>
        <w:t xml:space="preserve">l’Operazione</w:t>
      </w:r>
      <w:r>
        <w:rPr>
          <w:spacing w:val="-4"/>
        </w:rPr>
        <w:t xml:space="preserve"> </w:t>
      </w:r>
      <w:r>
        <w:t xml:space="preserve">è</w:t>
      </w:r>
      <w:r>
        <w:rPr>
          <w:spacing w:val="-4"/>
        </w:rPr>
        <w:t xml:space="preserve"> </w:t>
      </w:r>
      <w:r>
        <w:t xml:space="preserve">in</w:t>
      </w:r>
      <w:r>
        <w:rPr>
          <w:spacing w:val="-4"/>
        </w:rPr>
        <w:t xml:space="preserve"> </w:t>
      </w:r>
      <w:r>
        <w:t xml:space="preserve">uso</w:t>
      </w:r>
      <w:r>
        <w:rPr>
          <w:spacing w:val="-4"/>
        </w:rPr>
        <w:t xml:space="preserve"> </w:t>
      </w:r>
      <w:r>
        <w:t xml:space="preserve">e</w:t>
      </w:r>
      <w:r>
        <w:rPr>
          <w:spacing w:val="-4"/>
        </w:rPr>
        <w:t xml:space="preserve"> </w:t>
      </w:r>
      <w:r>
        <w:t xml:space="preserve">fun</w:t>
      </w:r>
      <w:r>
        <w:t xml:space="preserve">zionante,</w:t>
      </w:r>
      <w:r>
        <w:rPr>
          <w:spacing w:val="-4"/>
        </w:rPr>
        <w:t xml:space="preserve"> </w:t>
      </w:r>
      <w:r>
        <w:t xml:space="preserve">come</w:t>
      </w:r>
      <w:r>
        <w:rPr>
          <w:spacing w:val="-4"/>
        </w:rPr>
        <w:t xml:space="preserve"> </w:t>
      </w:r>
      <w:r>
        <w:t xml:space="preserve">attestato</w:t>
      </w:r>
      <w:r>
        <w:rPr>
          <w:spacing w:val="-4"/>
        </w:rPr>
        <w:t xml:space="preserve"> </w:t>
      </w:r>
      <w:r>
        <w:t xml:space="preserve">dalla</w:t>
      </w:r>
      <w:r>
        <w:rPr>
          <w:spacing w:val="-4"/>
        </w:rPr>
        <w:t xml:space="preserve"> </w:t>
      </w:r>
      <w:r>
        <w:t xml:space="preserve">documentazione</w:t>
      </w:r>
      <w:r>
        <w:rPr>
          <w:spacing w:val="-4"/>
        </w:rPr>
        <w:t xml:space="preserve"> </w:t>
      </w:r>
      <w:r>
        <w:rPr>
          <w:spacing w:val="-2"/>
        </w:rPr>
        <w:t xml:space="preserve">allegata;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92" w:left="861"/>
        <w:rPr/>
      </w:pPr>
      <w:r>
        <w:t xml:space="preserve">di aver adottato e di mantenere un sistema di contabilità separata o una codificazione contabile adeguata </w:t>
      </w:r>
      <w:r>
        <w:t xml:space="preserve">per</w:t>
      </w:r>
      <w:r>
        <w:t xml:space="preserve"> tutte le transazioni relative al finanziamento concesso;</w:t>
      </w:r>
      <w:r/>
    </w:p>
    <w:p>
      <w:pPr>
        <w:pStyle w:val="958"/>
        <w:numPr>
          <w:ilvl w:val="0"/>
          <w:numId w:val="1"/>
        </w:numPr>
        <w:pBdr/>
        <w:tabs>
          <w:tab w:val="left" w:leader="none" w:pos="861"/>
        </w:tabs>
        <w:spacing/>
        <w:ind w:right="290" w:left="861"/>
        <w:rPr/>
      </w:pPr>
      <w:r>
        <w:t xml:space="preserve">di essere consapevole che altre eventuali spese, sostenute nei termini temporali di ammissibilità delle spese dell’Operazione e ad essa riconducibili, ma non riportate nella rendicontazione finale, non potranno essere oggetto di ulteriori e successive rich</w:t>
      </w:r>
      <w:r>
        <w:t xml:space="preserve">ieste di contributo;</w:t>
      </w:r>
      <w:r/>
    </w:p>
    <w:p>
      <w:pPr>
        <w:pStyle w:val="957"/>
        <w:pBdr/>
        <w:spacing/>
        <w:ind/>
        <w:rPr/>
      </w:pPr>
      <w:r/>
      <w:r/>
    </w:p>
    <w:p>
      <w:pPr>
        <w:pStyle w:val="770"/>
        <w:pBdr/>
        <w:spacing/>
        <w:ind w:right="354" w:left="162"/>
        <w:rPr/>
      </w:pPr>
      <w:r>
        <w:rPr>
          <w:spacing w:val="-2"/>
        </w:rPr>
        <w:t xml:space="preserve">COMUNICA</w:t>
      </w:r>
      <w:r/>
    </w:p>
    <w:p>
      <w:pPr>
        <w:pStyle w:val="957"/>
        <w:pBdr/>
        <w:spacing w:before="24"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957"/>
        <w:pBdr/>
        <w:tabs>
          <w:tab w:val="left" w:leader="none" w:pos="6660"/>
          <w:tab w:val="left" w:leader="none" w:pos="8502"/>
        </w:tabs>
        <w:spacing/>
        <w:ind w:right="932" w:left="141"/>
        <w:rPr/>
      </w:pPr>
      <w:r>
        <w:t xml:space="preserve">Che tutta la documentazione relativa al progetto è ubicata presso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e</w:t>
      </w:r>
      <w:r>
        <w:rPr>
          <w:spacing w:val="-13"/>
        </w:rPr>
        <w:t xml:space="preserve"> </w:t>
      </w:r>
      <w:r>
        <w:t xml:space="preserve">che</w:t>
      </w:r>
      <w:r>
        <w:rPr>
          <w:spacing w:val="-12"/>
        </w:rPr>
        <w:t xml:space="preserve"> </w:t>
      </w:r>
      <w:r>
        <w:t xml:space="preserve">il soggetto addetto a tale conservazione è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.</w:t>
      </w:r>
      <w:r/>
    </w:p>
    <w:p>
      <w:pPr>
        <w:pStyle w:val="957"/>
        <w:pBdr/>
        <w:spacing w:before="24"/>
        <w:ind/>
        <w:rPr/>
      </w:pPr>
      <w:r/>
      <w:r/>
    </w:p>
    <w:p>
      <w:pPr>
        <w:pStyle w:val="770"/>
        <w:pBdr/>
        <w:spacing/>
        <w:ind w:right="192" w:left="354"/>
        <w:rPr/>
      </w:pPr>
      <w:r>
        <w:t xml:space="preserve">SOTTOSCRIZIONE</w:t>
      </w:r>
      <w:r>
        <w:rPr>
          <w:spacing w:val="-6"/>
        </w:rPr>
        <w:t xml:space="preserve"> </w:t>
      </w:r>
      <w:r>
        <w:t xml:space="preserve">DEL</w:t>
      </w:r>
      <w:r>
        <w:rPr>
          <w:spacing w:val="-6"/>
        </w:rPr>
        <w:t xml:space="preserve"> </w:t>
      </w:r>
      <w:r>
        <w:t xml:space="preserve">LEGALE</w:t>
      </w:r>
      <w:r>
        <w:rPr>
          <w:spacing w:val="-6"/>
        </w:rPr>
        <w:t xml:space="preserve"> </w:t>
      </w:r>
      <w:r>
        <w:rPr>
          <w:spacing w:val="-2"/>
        </w:rPr>
        <w:t xml:space="preserve">RAPPRESENTANTE</w:t>
      </w:r>
      <w:r/>
    </w:p>
    <w:p>
      <w:pPr>
        <w:pStyle w:val="957"/>
        <w:pBdr/>
        <w:spacing/>
        <w:ind w:right="628" w:left="141"/>
        <w:jc w:val="both"/>
        <w:rPr/>
      </w:pPr>
      <w:r>
        <w:t xml:space="preserve">Il</w:t>
      </w:r>
      <w:r>
        <w:rPr>
          <w:spacing w:val="-3"/>
        </w:rPr>
        <w:t xml:space="preserve"> </w:t>
      </w:r>
      <w:r>
        <w:t xml:space="preserve">sottoscritto</w:t>
      </w:r>
      <w:r>
        <w:rPr>
          <w:spacing w:val="-3"/>
        </w:rPr>
        <w:t xml:space="preserve"> </w:t>
      </w:r>
      <w:r>
        <w:t xml:space="preserve">dichiara</w:t>
      </w:r>
      <w:r>
        <w:rPr>
          <w:spacing w:val="-3"/>
        </w:rPr>
        <w:t xml:space="preserve"> </w:t>
      </w:r>
      <w:r>
        <w:t xml:space="preserve">di</w:t>
      </w:r>
      <w:r>
        <w:rPr>
          <w:spacing w:val="-3"/>
        </w:rPr>
        <w:t xml:space="preserve"> </w:t>
      </w:r>
      <w:r>
        <w:t xml:space="preserve">rendere</w:t>
      </w:r>
      <w:r>
        <w:rPr>
          <w:spacing w:val="-3"/>
        </w:rPr>
        <w:t xml:space="preserve"> </w:t>
      </w:r>
      <w:r>
        <w:t xml:space="preserve">le</w:t>
      </w:r>
      <w:r>
        <w:rPr>
          <w:spacing w:val="-3"/>
        </w:rPr>
        <w:t xml:space="preserve"> </w:t>
      </w:r>
      <w:r>
        <w:t xml:space="preserve">precedenti</w:t>
      </w:r>
      <w:r>
        <w:rPr>
          <w:spacing w:val="-3"/>
        </w:rPr>
        <w:t xml:space="preserve"> </w:t>
      </w:r>
      <w:r>
        <w:t xml:space="preserve">dichiarazioni</w:t>
      </w:r>
      <w:r>
        <w:rPr>
          <w:spacing w:val="-3"/>
        </w:rPr>
        <w:t xml:space="preserve"> </w:t>
      </w:r>
      <w:r>
        <w:t xml:space="preserve">ai</w:t>
      </w:r>
      <w:r>
        <w:rPr>
          <w:spacing w:val="-3"/>
        </w:rPr>
        <w:t xml:space="preserve"> </w:t>
      </w:r>
      <w:r>
        <w:t xml:space="preserve">sensi</w:t>
      </w:r>
      <w:r>
        <w:rPr>
          <w:spacing w:val="-3"/>
        </w:rPr>
        <w:t xml:space="preserve"> </w:t>
      </w:r>
      <w:r>
        <w:t xml:space="preserve">dell’art.</w:t>
      </w:r>
      <w:r>
        <w:rPr>
          <w:spacing w:val="-3"/>
        </w:rPr>
        <w:t xml:space="preserve"> </w:t>
      </w:r>
      <w:r>
        <w:t xml:space="preserve">47</w:t>
      </w:r>
      <w:r>
        <w:rPr>
          <w:spacing w:val="-3"/>
        </w:rPr>
        <w:t xml:space="preserve"> </w:t>
      </w:r>
      <w:r>
        <w:t xml:space="preserve">del</w:t>
      </w:r>
      <w:r>
        <w:rPr>
          <w:spacing w:val="-3"/>
        </w:rPr>
        <w:t xml:space="preserve"> </w:t>
      </w:r>
      <w:r>
        <w:t xml:space="preserve">D.P.R.</w:t>
      </w:r>
      <w:r>
        <w:rPr>
          <w:spacing w:val="-3"/>
        </w:rPr>
        <w:t xml:space="preserve"> </w:t>
      </w:r>
      <w:r>
        <w:t xml:space="preserve">28/12/2000</w:t>
      </w:r>
      <w:r>
        <w:rPr>
          <w:spacing w:val="-3"/>
        </w:rPr>
        <w:t xml:space="preserve"> </w:t>
      </w:r>
      <w:r>
        <w:t xml:space="preserve">n. 445,</w:t>
      </w:r>
      <w:r>
        <w:rPr>
          <w:spacing w:val="-1"/>
        </w:rPr>
        <w:t xml:space="preserve"> </w:t>
      </w:r>
      <w:r>
        <w:t xml:space="preserve">e</w:t>
      </w:r>
      <w:r>
        <w:rPr>
          <w:spacing w:val="-1"/>
        </w:rPr>
        <w:t xml:space="preserve"> </w:t>
      </w:r>
      <w:r>
        <w:t xml:space="preserve">di</w:t>
      </w:r>
      <w:r>
        <w:rPr>
          <w:spacing w:val="-1"/>
        </w:rPr>
        <w:t xml:space="preserve"> </w:t>
      </w:r>
      <w:r>
        <w:t xml:space="preserve">essere</w:t>
      </w:r>
      <w:r>
        <w:rPr>
          <w:spacing w:val="-1"/>
        </w:rPr>
        <w:t xml:space="preserve"> </w:t>
      </w:r>
      <w:r>
        <w:t xml:space="preserve">consapevole</w:t>
      </w:r>
      <w:r>
        <w:rPr>
          <w:spacing w:val="-1"/>
        </w:rPr>
        <w:t xml:space="preserve"> </w:t>
      </w:r>
      <w:r>
        <w:t xml:space="preserve">delle</w:t>
      </w:r>
      <w:r>
        <w:rPr>
          <w:spacing w:val="-1"/>
        </w:rPr>
        <w:t xml:space="preserve"> </w:t>
      </w:r>
      <w:r>
        <w:t xml:space="preserve">responsabilità</w:t>
      </w:r>
      <w:r>
        <w:rPr>
          <w:spacing w:val="-1"/>
        </w:rPr>
        <w:t xml:space="preserve"> </w:t>
      </w:r>
      <w:r>
        <w:t xml:space="preserve">penali</w:t>
      </w:r>
      <w:r>
        <w:rPr>
          <w:spacing w:val="-1"/>
        </w:rPr>
        <w:t xml:space="preserve"> </w:t>
      </w:r>
      <w:r>
        <w:t xml:space="preserve">cui</w:t>
      </w:r>
      <w:r>
        <w:rPr>
          <w:spacing w:val="-1"/>
        </w:rPr>
        <w:t xml:space="preserve"> </w:t>
      </w:r>
      <w:r>
        <w:t xml:space="preserve">può</w:t>
      </w:r>
      <w:r>
        <w:rPr>
          <w:spacing w:val="-1"/>
        </w:rPr>
        <w:t xml:space="preserve"> </w:t>
      </w:r>
      <w:r>
        <w:t xml:space="preserve">andare</w:t>
      </w:r>
      <w:r>
        <w:rPr>
          <w:spacing w:val="-1"/>
        </w:rPr>
        <w:t xml:space="preserve"> </w:t>
      </w:r>
      <w:r>
        <w:t xml:space="preserve">incontro</w:t>
      </w:r>
      <w:r>
        <w:rPr>
          <w:spacing w:val="-1"/>
        </w:rPr>
        <w:t xml:space="preserve"> </w:t>
      </w:r>
      <w:r>
        <w:t xml:space="preserve">in</w:t>
      </w:r>
      <w:r>
        <w:rPr>
          <w:spacing w:val="-1"/>
        </w:rPr>
        <w:t xml:space="preserve"> </w:t>
      </w:r>
      <w:r>
        <w:t xml:space="preserve">caso</w:t>
      </w:r>
      <w:r>
        <w:rPr>
          <w:spacing w:val="-1"/>
        </w:rPr>
        <w:t xml:space="preserve"> </w:t>
      </w:r>
      <w:r>
        <w:t xml:space="preserve">di</w:t>
      </w:r>
      <w:r>
        <w:rPr>
          <w:spacing w:val="-1"/>
        </w:rPr>
        <w:t xml:space="preserve"> </w:t>
      </w:r>
      <w:r>
        <w:t xml:space="preserve">dichiarazione mendace o di esibizione di atto falso o contenente dati non rispondenti a verità, ai sens</w:t>
      </w:r>
      <w:r>
        <w:t xml:space="preserve">i dell’art. 76 del</w:t>
      </w:r>
      <w:r/>
    </w:p>
    <w:p>
      <w:pPr>
        <w:pStyle w:val="957"/>
        <w:pBdr/>
        <w:spacing/>
        <w:ind w:left="141"/>
        <w:jc w:val="both"/>
        <w:rPr/>
      </w:pPr>
      <w:r>
        <w:t xml:space="preserve">D.P.R.</w:t>
      </w:r>
      <w:r>
        <w:rPr>
          <w:spacing w:val="-5"/>
        </w:rPr>
        <w:t xml:space="preserve"> </w:t>
      </w:r>
      <w:r>
        <w:t xml:space="preserve">28/12/2000</w:t>
      </w:r>
      <w:r>
        <w:rPr>
          <w:spacing w:val="-5"/>
        </w:rPr>
        <w:t xml:space="preserve"> </w:t>
      </w:r>
      <w:r>
        <w:t xml:space="preserve">n.</w:t>
      </w:r>
      <w:r>
        <w:rPr>
          <w:spacing w:val="-4"/>
        </w:rPr>
        <w:t xml:space="preserve"> 445.</w:t>
      </w:r>
      <w:r/>
    </w:p>
    <w:p>
      <w:pPr>
        <w:pStyle w:val="957"/>
        <w:pBdr/>
        <w:spacing/>
        <w:ind/>
        <w:rPr/>
      </w:pPr>
      <w:r/>
      <w:r/>
    </w:p>
    <w:p>
      <w:pPr>
        <w:pBdr/>
        <w:tabs>
          <w:tab w:val="left" w:leader="none" w:pos="7221"/>
        </w:tabs>
        <w:spacing/>
        <w:ind w:left="141"/>
        <w:jc w:val="both"/>
        <w:rPr>
          <w:i/>
        </w:rPr>
      </w:pPr>
      <w:r>
        <w:t xml:space="preserve">Data</w:t>
      </w:r>
      <w:r>
        <w:rPr>
          <w:spacing w:val="-2"/>
        </w:rPr>
        <w:t xml:space="preserve"> …………………….</w:t>
      </w:r>
      <w:r>
        <w:tab/>
      </w:r>
      <w:r>
        <w:rPr>
          <w:i/>
          <w:u w:val="single"/>
        </w:rPr>
        <w:t xml:space="preserve">Firma</w:t>
      </w:r>
      <w:r>
        <w:rPr>
          <w:i/>
          <w:spacing w:val="-4"/>
          <w:u w:val="single"/>
        </w:rPr>
        <w:t xml:space="preserve"> </w:t>
      </w:r>
      <w:r>
        <w:rPr>
          <w:i/>
          <w:spacing w:val="-2"/>
          <w:u w:val="single"/>
        </w:rPr>
        <w:t xml:space="preserve">digitale</w:t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 w:before="23"/>
        <w:ind/>
        <w:rPr>
          <w:i/>
        </w:rPr>
      </w:pPr>
      <w:r>
        <w:rPr>
          <w:i/>
        </w:rPr>
      </w:r>
      <w:r>
        <w:rPr>
          <w:i/>
        </w:rPr>
      </w:r>
    </w:p>
    <w:p>
      <w:pPr>
        <w:pStyle w:val="957"/>
        <w:pBdr/>
        <w:spacing/>
        <w:ind/>
        <w:jc w:val="right"/>
        <w:rPr/>
      </w:pPr>
      <w:r/>
      <w:r/>
    </w:p>
    <w:sectPr>
      <w:headerReference w:type="even" r:id="rId11"/>
      <w:footerReference w:type="even" r:id="rId14"/>
      <w:footnotePr/>
      <w:endnotePr/>
      <w:type w:val="nextPage"/>
      <w:pgSz w:h="16840" w:orient="portrait" w:w="11910"/>
      <w:pgMar w:top="720" w:right="850" w:bottom="280" w:left="992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5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Image 50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86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360" w:left="1780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60" w:left="2700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3621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60" w:left="4541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60" w:left="5462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6382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60" w:left="7302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60" w:left="8223"/>
      </w:pPr>
      <w:rPr>
        <w:rFonts w:hint="default"/>
        <w:lang w:val="it-IT" w:eastAsia="en-US" w:bidi="ar-SA"/>
      </w:rPr>
      <w:start w:val="0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283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79"/>
    <w:link w:val="7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79"/>
    <w:link w:val="7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79"/>
    <w:link w:val="7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79"/>
    <w:link w:val="77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79"/>
    <w:link w:val="7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79"/>
    <w:link w:val="77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79"/>
    <w:link w:val="77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79"/>
    <w:link w:val="77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79"/>
    <w:link w:val="77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79"/>
    <w:link w:val="9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79"/>
    <w:link w:val="9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79"/>
    <w:link w:val="92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79"/>
    <w:link w:val="92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779"/>
    <w:link w:val="933"/>
    <w:uiPriority w:val="99"/>
    <w:pPr>
      <w:pBdr/>
      <w:spacing/>
      <w:ind/>
    </w:pPr>
  </w:style>
  <w:style w:type="character" w:styleId="178">
    <w:name w:val="Footer Char"/>
    <w:basedOn w:val="779"/>
    <w:link w:val="935"/>
    <w:uiPriority w:val="99"/>
    <w:pPr>
      <w:pBdr/>
      <w:spacing/>
      <w:ind/>
    </w:pPr>
  </w:style>
  <w:style w:type="character" w:styleId="181">
    <w:name w:val="Footnote Text Char"/>
    <w:basedOn w:val="779"/>
    <w:link w:val="938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79"/>
    <w:link w:val="941"/>
    <w:uiPriority w:val="99"/>
    <w:semiHidden/>
    <w:pPr>
      <w:pBdr/>
      <w:spacing/>
      <w:ind/>
    </w:pPr>
    <w:rPr>
      <w:sz w:val="20"/>
      <w:szCs w:val="20"/>
    </w:rPr>
  </w:style>
  <w:style w:type="paragraph" w:styleId="769" w:default="1">
    <w:name w:val="Normal"/>
    <w:uiPriority w:val="1"/>
    <w:qFormat/>
    <w:pPr>
      <w:pBdr/>
      <w:spacing/>
      <w:ind/>
    </w:pPr>
    <w:rPr>
      <w:rFonts w:ascii="Calibri" w:hAnsi="Calibri" w:eastAsia="Calibri" w:cs="Calibri"/>
      <w:lang w:val="it-IT"/>
    </w:rPr>
  </w:style>
  <w:style w:type="paragraph" w:styleId="770">
    <w:name w:val="Heading 1"/>
    <w:basedOn w:val="769"/>
    <w:link w:val="888"/>
    <w:uiPriority w:val="1"/>
    <w:qFormat/>
    <w:pPr>
      <w:pBdr/>
      <w:spacing/>
      <w:ind w:left="-1"/>
      <w:jc w:val="center"/>
      <w:outlineLvl w:val="0"/>
    </w:pPr>
    <w:rPr>
      <w:b/>
      <w:bCs/>
    </w:rPr>
  </w:style>
  <w:style w:type="paragraph" w:styleId="771">
    <w:name w:val="Heading 2"/>
    <w:basedOn w:val="769"/>
    <w:link w:val="889"/>
    <w:uiPriority w:val="1"/>
    <w:qFormat/>
    <w:pPr>
      <w:pBdr/>
      <w:spacing/>
      <w:ind w:left="1131"/>
      <w:outlineLvl w:val="1"/>
    </w:pPr>
    <w:rPr>
      <w:b/>
      <w:bCs/>
    </w:rPr>
  </w:style>
  <w:style w:type="paragraph" w:styleId="772">
    <w:name w:val="Heading 3"/>
    <w:basedOn w:val="769"/>
    <w:next w:val="769"/>
    <w:link w:val="91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73">
    <w:name w:val="Heading 4"/>
    <w:basedOn w:val="769"/>
    <w:next w:val="769"/>
    <w:link w:val="91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74">
    <w:name w:val="Heading 5"/>
    <w:basedOn w:val="769"/>
    <w:next w:val="769"/>
    <w:link w:val="91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75">
    <w:name w:val="Heading 6"/>
    <w:basedOn w:val="769"/>
    <w:next w:val="769"/>
    <w:link w:val="913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76">
    <w:name w:val="Heading 7"/>
    <w:basedOn w:val="769"/>
    <w:next w:val="769"/>
    <w:link w:val="914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77">
    <w:name w:val="Heading 8"/>
    <w:basedOn w:val="769"/>
    <w:next w:val="769"/>
    <w:link w:val="915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78">
    <w:name w:val="Heading 9"/>
    <w:basedOn w:val="769"/>
    <w:next w:val="769"/>
    <w:link w:val="916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79" w:default="1">
    <w:name w:val="Default Paragraph Font"/>
    <w:uiPriority w:val="1"/>
    <w:semiHidden/>
    <w:unhideWhenUsed/>
    <w:pPr>
      <w:pBdr/>
      <w:spacing/>
      <w:ind/>
    </w:pPr>
  </w:style>
  <w:style w:type="table" w:styleId="78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1" w:default="1">
    <w:name w:val="No List"/>
    <w:uiPriority w:val="99"/>
    <w:semiHidden/>
    <w:unhideWhenUsed/>
    <w:pPr>
      <w:pBdr/>
      <w:spacing/>
      <w:ind/>
    </w:pPr>
  </w:style>
  <w:style w:type="table" w:styleId="782" w:customStyle="1">
    <w:name w:val="Table Grid Light"/>
    <w:basedOn w:val="78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1 Light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1 Light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1 Light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1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2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3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4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2 - Accent 5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2 - Accent 6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1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2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3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4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5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3 - Accent 6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basedOn w:val="780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basedOn w:val="780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basedOn w:val="780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basedOn w:val="780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basedOn w:val="780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basedOn w:val="780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5 Dark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6 Colorful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6 Colorful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7 Colorful - Accent 1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7 Colorful - Accent 2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7 Colorful - Accent 3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4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5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6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1 Light - Accent 1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1 Light - Accent 2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1 Light - Accent 3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1 Light - Accent 4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5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6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2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2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2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2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2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3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3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3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3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3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3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4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4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4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4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4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4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5 Dark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5 Dark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5 Dark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5 Dark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5 Dark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5 Dark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6 Colorful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6 Colorful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6 Colorful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6 Colorful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6 Colorful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6 Colorful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7 Colorful - Accent 1"/>
    <w:basedOn w:val="780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7 Colorful - Accent 2"/>
    <w:basedOn w:val="780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7 Colorful - Accent 3"/>
    <w:basedOn w:val="780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7 Colorful - Accent 4"/>
    <w:basedOn w:val="780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7 Colorful - Accent 5"/>
    <w:basedOn w:val="780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7 Colorful - Accent 6"/>
    <w:basedOn w:val="780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ned - Accent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ned - Accent 1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ned - Accent 2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ned - Accent 3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ned - Accent 4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ned - Accent 5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ned - Accent 6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&amp; Lined - Accent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&amp; Lined - Accent 1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&amp; Lined - Accent 2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&amp; Lined - Accent 3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&amp; Lined - Accent 4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Bordered &amp; Lined - Accent 5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Bordered &amp; Lined - Accent 6"/>
    <w:basedOn w:val="780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Bordered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Bordered - Accent 1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Bordered - Accent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- Accent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- Accent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- Accent 5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- Accent 6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8" w:customStyle="1">
    <w:name w:val="Titolo 1 Carattere"/>
    <w:basedOn w:val="779"/>
    <w:link w:val="77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889" w:customStyle="1">
    <w:name w:val="Titolo 2 Carattere"/>
    <w:basedOn w:val="779"/>
    <w:link w:val="77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table" w:styleId="890">
    <w:name w:val="Table Grid"/>
    <w:basedOn w:val="780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Plain Table 1"/>
    <w:basedOn w:val="78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Plain Table 2"/>
    <w:basedOn w:val="780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Plain Table 3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Plain Table 4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Plain Table 5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1 Light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2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3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4"/>
    <w:basedOn w:val="780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5 Dark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6 Colorful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"/>
    <w:basedOn w:val="780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1 Light"/>
    <w:basedOn w:val="78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2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4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6 Colorful"/>
    <w:basedOn w:val="78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"/>
    <w:basedOn w:val="780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0" w:customStyle="1">
    <w:name w:val="Titolo 3 Carattere"/>
    <w:basedOn w:val="779"/>
    <w:link w:val="77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11" w:customStyle="1">
    <w:name w:val="Titolo 4 Carattere"/>
    <w:basedOn w:val="779"/>
    <w:link w:val="773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12" w:customStyle="1">
    <w:name w:val="Titolo 5 Carattere"/>
    <w:basedOn w:val="779"/>
    <w:link w:val="77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13" w:customStyle="1">
    <w:name w:val="Titolo 6 Carattere"/>
    <w:basedOn w:val="779"/>
    <w:link w:val="77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4" w:customStyle="1">
    <w:name w:val="Titolo 7 Carattere"/>
    <w:basedOn w:val="779"/>
    <w:link w:val="77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5" w:customStyle="1">
    <w:name w:val="Titolo 8 Carattere"/>
    <w:basedOn w:val="779"/>
    <w:link w:val="77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6" w:customStyle="1">
    <w:name w:val="Titolo 9 Carattere"/>
    <w:basedOn w:val="779"/>
    <w:link w:val="77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7">
    <w:name w:val="Title"/>
    <w:basedOn w:val="769"/>
    <w:next w:val="769"/>
    <w:link w:val="918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8" w:customStyle="1">
    <w:name w:val="Titolo Carattere"/>
    <w:basedOn w:val="779"/>
    <w:link w:val="9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9">
    <w:name w:val="Subtitle"/>
    <w:basedOn w:val="769"/>
    <w:next w:val="769"/>
    <w:link w:val="92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0" w:customStyle="1">
    <w:name w:val="Sottotitolo Carattere"/>
    <w:basedOn w:val="779"/>
    <w:link w:val="9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1">
    <w:name w:val="Quote"/>
    <w:basedOn w:val="769"/>
    <w:next w:val="769"/>
    <w:link w:val="92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2" w:customStyle="1">
    <w:name w:val="Citazione Carattere"/>
    <w:basedOn w:val="779"/>
    <w:link w:val="92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23">
    <w:name w:val="Intense Emphasis"/>
    <w:basedOn w:val="779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24">
    <w:name w:val="Intense Quote"/>
    <w:basedOn w:val="769"/>
    <w:next w:val="769"/>
    <w:link w:val="925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25" w:customStyle="1">
    <w:name w:val="Citazione intensa Carattere"/>
    <w:basedOn w:val="779"/>
    <w:link w:val="924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26">
    <w:name w:val="Intense Reference"/>
    <w:basedOn w:val="779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27">
    <w:name w:val="No Spacing"/>
    <w:basedOn w:val="769"/>
    <w:uiPriority w:val="1"/>
    <w:qFormat/>
    <w:pPr>
      <w:pBdr/>
      <w:spacing/>
      <w:ind/>
    </w:pPr>
  </w:style>
  <w:style w:type="character" w:styleId="928">
    <w:name w:val="Subtle Emphasis"/>
    <w:basedOn w:val="77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9">
    <w:name w:val="Emphasis"/>
    <w:basedOn w:val="779"/>
    <w:uiPriority w:val="20"/>
    <w:qFormat/>
    <w:pPr>
      <w:pBdr/>
      <w:spacing/>
      <w:ind/>
    </w:pPr>
    <w:rPr>
      <w:i/>
      <w:iCs/>
    </w:rPr>
  </w:style>
  <w:style w:type="character" w:styleId="930">
    <w:name w:val="Strong"/>
    <w:basedOn w:val="779"/>
    <w:uiPriority w:val="22"/>
    <w:qFormat/>
    <w:pPr>
      <w:pBdr/>
      <w:spacing/>
      <w:ind/>
    </w:pPr>
    <w:rPr>
      <w:b/>
      <w:bCs/>
    </w:rPr>
  </w:style>
  <w:style w:type="character" w:styleId="931">
    <w:name w:val="Subtle Reference"/>
    <w:basedOn w:val="77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2">
    <w:name w:val="Book Title"/>
    <w:basedOn w:val="77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33">
    <w:name w:val="Header"/>
    <w:basedOn w:val="769"/>
    <w:link w:val="934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34" w:customStyle="1">
    <w:name w:val="Intestazione Carattere"/>
    <w:basedOn w:val="779"/>
    <w:link w:val="933"/>
    <w:uiPriority w:val="99"/>
    <w:pPr>
      <w:pBdr/>
      <w:spacing/>
      <w:ind/>
    </w:pPr>
  </w:style>
  <w:style w:type="paragraph" w:styleId="935">
    <w:name w:val="Footer"/>
    <w:basedOn w:val="769"/>
    <w:link w:val="936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36" w:customStyle="1">
    <w:name w:val="Piè di pagina Carattere"/>
    <w:basedOn w:val="779"/>
    <w:link w:val="935"/>
    <w:uiPriority w:val="99"/>
    <w:pPr>
      <w:pBdr/>
      <w:spacing/>
      <w:ind/>
    </w:pPr>
  </w:style>
  <w:style w:type="paragraph" w:styleId="937">
    <w:name w:val="Caption"/>
    <w:basedOn w:val="769"/>
    <w:next w:val="769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938">
    <w:name w:val="footnote text"/>
    <w:basedOn w:val="769"/>
    <w:link w:val="93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39" w:customStyle="1">
    <w:name w:val="Testo nota a piè di pagina Carattere"/>
    <w:basedOn w:val="779"/>
    <w:link w:val="938"/>
    <w:uiPriority w:val="99"/>
    <w:semiHidden/>
    <w:pPr>
      <w:pBdr/>
      <w:spacing/>
      <w:ind/>
    </w:pPr>
    <w:rPr>
      <w:sz w:val="20"/>
      <w:szCs w:val="20"/>
    </w:rPr>
  </w:style>
  <w:style w:type="character" w:styleId="940">
    <w:name w:val="footnote reference"/>
    <w:basedOn w:val="779"/>
    <w:uiPriority w:val="99"/>
    <w:semiHidden/>
    <w:unhideWhenUsed/>
    <w:pPr>
      <w:pBdr/>
      <w:spacing/>
      <w:ind/>
    </w:pPr>
    <w:rPr>
      <w:vertAlign w:val="superscript"/>
    </w:rPr>
  </w:style>
  <w:style w:type="paragraph" w:styleId="941">
    <w:name w:val="endnote text"/>
    <w:basedOn w:val="769"/>
    <w:link w:val="942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42" w:customStyle="1">
    <w:name w:val="Testo nota di chiusura Carattere"/>
    <w:basedOn w:val="779"/>
    <w:link w:val="941"/>
    <w:uiPriority w:val="99"/>
    <w:semiHidden/>
    <w:pPr>
      <w:pBdr/>
      <w:spacing/>
      <w:ind/>
    </w:pPr>
    <w:rPr>
      <w:sz w:val="20"/>
      <w:szCs w:val="20"/>
    </w:rPr>
  </w:style>
  <w:style w:type="character" w:styleId="943">
    <w:name w:val="endnote reference"/>
    <w:basedOn w:val="779"/>
    <w:uiPriority w:val="99"/>
    <w:semiHidden/>
    <w:unhideWhenUsed/>
    <w:pPr>
      <w:pBdr/>
      <w:spacing/>
      <w:ind/>
    </w:pPr>
    <w:rPr>
      <w:vertAlign w:val="superscript"/>
    </w:rPr>
  </w:style>
  <w:style w:type="character" w:styleId="944">
    <w:name w:val="Hyperlink"/>
    <w:basedOn w:val="779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45">
    <w:name w:val="FollowedHyperlink"/>
    <w:basedOn w:val="779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46">
    <w:name w:val="toc 1"/>
    <w:basedOn w:val="769"/>
    <w:next w:val="769"/>
    <w:uiPriority w:val="39"/>
    <w:unhideWhenUsed/>
    <w:pPr>
      <w:pBdr/>
      <w:spacing w:after="100"/>
      <w:ind/>
    </w:pPr>
  </w:style>
  <w:style w:type="paragraph" w:styleId="947">
    <w:name w:val="toc 2"/>
    <w:basedOn w:val="769"/>
    <w:next w:val="769"/>
    <w:uiPriority w:val="39"/>
    <w:unhideWhenUsed/>
    <w:pPr>
      <w:pBdr/>
      <w:spacing w:after="100"/>
      <w:ind w:left="220"/>
    </w:pPr>
  </w:style>
  <w:style w:type="paragraph" w:styleId="948">
    <w:name w:val="toc 3"/>
    <w:basedOn w:val="769"/>
    <w:next w:val="769"/>
    <w:uiPriority w:val="39"/>
    <w:unhideWhenUsed/>
    <w:pPr>
      <w:pBdr/>
      <w:spacing w:after="100"/>
      <w:ind w:left="440"/>
    </w:pPr>
  </w:style>
  <w:style w:type="paragraph" w:styleId="949">
    <w:name w:val="toc 4"/>
    <w:basedOn w:val="769"/>
    <w:next w:val="769"/>
    <w:uiPriority w:val="39"/>
    <w:unhideWhenUsed/>
    <w:pPr>
      <w:pBdr/>
      <w:spacing w:after="100"/>
      <w:ind w:left="660"/>
    </w:pPr>
  </w:style>
  <w:style w:type="paragraph" w:styleId="950">
    <w:name w:val="toc 5"/>
    <w:basedOn w:val="769"/>
    <w:next w:val="769"/>
    <w:uiPriority w:val="39"/>
    <w:unhideWhenUsed/>
    <w:pPr>
      <w:pBdr/>
      <w:spacing w:after="100"/>
      <w:ind w:left="880"/>
    </w:pPr>
  </w:style>
  <w:style w:type="paragraph" w:styleId="951">
    <w:name w:val="toc 6"/>
    <w:basedOn w:val="769"/>
    <w:next w:val="769"/>
    <w:uiPriority w:val="39"/>
    <w:unhideWhenUsed/>
    <w:pPr>
      <w:pBdr/>
      <w:spacing w:after="100"/>
      <w:ind w:left="1100"/>
    </w:pPr>
  </w:style>
  <w:style w:type="paragraph" w:styleId="952">
    <w:name w:val="toc 7"/>
    <w:basedOn w:val="769"/>
    <w:next w:val="769"/>
    <w:uiPriority w:val="39"/>
    <w:unhideWhenUsed/>
    <w:pPr>
      <w:pBdr/>
      <w:spacing w:after="100"/>
      <w:ind w:left="1320"/>
    </w:pPr>
  </w:style>
  <w:style w:type="paragraph" w:styleId="953">
    <w:name w:val="toc 8"/>
    <w:basedOn w:val="769"/>
    <w:next w:val="769"/>
    <w:uiPriority w:val="39"/>
    <w:unhideWhenUsed/>
    <w:pPr>
      <w:pBdr/>
      <w:spacing w:after="100"/>
      <w:ind w:left="1540"/>
    </w:pPr>
  </w:style>
  <w:style w:type="paragraph" w:styleId="954">
    <w:name w:val="toc 9"/>
    <w:basedOn w:val="769"/>
    <w:next w:val="769"/>
    <w:uiPriority w:val="39"/>
    <w:unhideWhenUsed/>
    <w:pPr>
      <w:pBdr/>
      <w:spacing w:after="100"/>
      <w:ind w:left="1760"/>
    </w:pPr>
  </w:style>
  <w:style w:type="paragraph" w:styleId="955">
    <w:name w:val="TOC Heading"/>
    <w:uiPriority w:val="39"/>
    <w:unhideWhenUsed/>
    <w:pPr>
      <w:pBdr/>
      <w:spacing/>
      <w:ind/>
    </w:pPr>
  </w:style>
  <w:style w:type="paragraph" w:styleId="956">
    <w:name w:val="table of figures"/>
    <w:basedOn w:val="769"/>
    <w:next w:val="769"/>
    <w:uiPriority w:val="99"/>
    <w:unhideWhenUsed/>
    <w:pPr>
      <w:pBdr/>
      <w:spacing/>
      <w:ind/>
    </w:pPr>
  </w:style>
  <w:style w:type="paragraph" w:styleId="957">
    <w:name w:val="Body Text"/>
    <w:basedOn w:val="769"/>
    <w:uiPriority w:val="1"/>
    <w:qFormat/>
    <w:pPr>
      <w:pBdr/>
      <w:spacing/>
      <w:ind/>
    </w:pPr>
  </w:style>
  <w:style w:type="paragraph" w:styleId="958">
    <w:name w:val="List Paragraph"/>
    <w:basedOn w:val="769"/>
    <w:uiPriority w:val="1"/>
    <w:qFormat/>
    <w:pPr>
      <w:pBdr/>
      <w:spacing/>
      <w:ind w:hanging="360" w:left="861"/>
      <w:jc w:val="both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revision>4</cp:revision>
  <dcterms:created xsi:type="dcterms:W3CDTF">2026-07-29T13:08:00Z</dcterms:created>
  <dcterms:modified xsi:type="dcterms:W3CDTF">2026-08-05T10:26:57Z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