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  <w:t xml:space="preserve">Allegato 9 – Schede per la verifica e il controllo per garantire la conformità al principio di non arrecare danno significativo (cd. DNSH) </w:t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tbl>
      <w:tblPr>
        <w:tblStyle w:val="928"/>
        <w:tblW w:w="0" w:type="auto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187"/>
        <w:gridCol w:w="487"/>
        <w:gridCol w:w="2207"/>
        <w:gridCol w:w="1701"/>
        <w:gridCol w:w="6237"/>
      </w:tblGrid>
      <w:tr>
        <w:trPr>
          <w:trHeight w:val="385"/>
        </w:trPr>
        <w:tc>
          <w:tcPr>
            <w:gridSpan w:val="5"/>
            <w:shd w:val="clear" w:color="auto" w:fill="fae2d4"/>
            <w:tcBorders/>
            <w:tcW w:w="12819" w:type="dxa"/>
            <w:textDirection w:val="lrTb"/>
            <w:noWrap w:val="false"/>
          </w:tcPr>
          <w:p>
            <w:pPr>
              <w:pStyle w:val="929"/>
              <w:pBdr/>
              <w:spacing w:before="35" w:line="330" w:lineRule="exact"/>
              <w:ind w:right="3" w:left="19"/>
              <w:jc w:val="center"/>
              <w:rPr>
                <w:b/>
                <w:i/>
                <w:sz w:val="28"/>
                <w:lang w:val="it-IT"/>
              </w:rPr>
            </w:pPr>
            <w:r>
              <w:rPr>
                <w:b/>
                <w:i/>
                <w:sz w:val="28"/>
                <w:lang w:val="it-IT"/>
              </w:rPr>
              <w:t xml:space="preserve">Scheda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2</w:t>
            </w:r>
            <w:r>
              <w:rPr>
                <w:b/>
                <w:i/>
                <w:spacing w:val="-11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-</w:t>
            </w:r>
            <w:r>
              <w:rPr>
                <w:b/>
                <w:i/>
                <w:spacing w:val="-7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Ristrutturazioni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riqualificazioni</w:t>
            </w:r>
            <w:r>
              <w:rPr>
                <w:b/>
                <w:i/>
                <w:spacing w:val="-4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di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edifici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residenziali</w:t>
            </w:r>
            <w:r>
              <w:rPr>
                <w:b/>
                <w:i/>
                <w:spacing w:val="-6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e</w:t>
            </w:r>
            <w:r>
              <w:rPr>
                <w:b/>
                <w:i/>
                <w:spacing w:val="-9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non</w:t>
            </w:r>
            <w:r>
              <w:rPr>
                <w:b/>
                <w:i/>
                <w:spacing w:val="-8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residenziali –</w:t>
            </w:r>
            <w:r>
              <w:rPr>
                <w:b/>
                <w:i/>
                <w:spacing w:val="-10"/>
                <w:sz w:val="28"/>
                <w:lang w:val="it-IT"/>
              </w:rPr>
              <w:t xml:space="preserve"> </w:t>
            </w:r>
            <w:r>
              <w:rPr>
                <w:b/>
                <w:i/>
                <w:sz w:val="28"/>
                <w:lang w:val="it-IT"/>
              </w:rPr>
              <w:t xml:space="preserve">Regime</w:t>
            </w:r>
            <w:r>
              <w:rPr>
                <w:b/>
                <w:i/>
                <w:spacing w:val="-4"/>
                <w:sz w:val="28"/>
                <w:lang w:val="it-IT"/>
              </w:rPr>
              <w:t xml:space="preserve"> </w:t>
            </w:r>
            <w:r>
              <w:rPr>
                <w:b/>
                <w:i/>
                <w:spacing w:val="-10"/>
                <w:sz w:val="28"/>
                <w:lang w:val="it-IT"/>
              </w:rPr>
              <w:t xml:space="preserve">2</w:t>
            </w:r>
            <w:r>
              <w:rPr>
                <w:b/>
                <w:i/>
                <w:sz w:val="28"/>
                <w:lang w:val="it-IT"/>
              </w:rPr>
            </w:r>
            <w:r>
              <w:rPr>
                <w:b/>
                <w:i/>
                <w:sz w:val="28"/>
                <w:lang w:val="it-IT"/>
              </w:rPr>
            </w:r>
          </w:p>
        </w:tc>
      </w:tr>
      <w:tr>
        <w:trPr>
          <w:trHeight w:val="302"/>
        </w:trPr>
        <w:tc>
          <w:tcPr>
            <w:tcBorders/>
            <w:tcW w:w="21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gridSpan w:val="2"/>
            <w:tcBorders/>
            <w:tcW w:w="2694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929"/>
              <w:pBdr/>
              <w:spacing/>
              <w:ind w:left="163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  <w:tc>
          <w:tcPr>
            <w:tcBorders/>
            <w:tcW w:w="623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  <w:r>
              <w:rPr>
                <w:rFonts w:ascii="Times New Roman"/>
                <w:lang w:val="it-IT"/>
              </w:rPr>
            </w:r>
          </w:p>
        </w:tc>
      </w:tr>
      <w:tr>
        <w:trPr>
          <w:trHeight w:val="313"/>
        </w:trPr>
        <w:tc>
          <w:tcPr>
            <w:gridSpan w:val="5"/>
            <w:tcBorders/>
            <w:tcW w:w="12819" w:type="dxa"/>
            <w:textDirection w:val="lrTb"/>
            <w:noWrap w:val="false"/>
          </w:tcPr>
          <w:p>
            <w:pPr>
              <w:pStyle w:val="929"/>
              <w:pBdr/>
              <w:spacing w:before="32" w:line="261" w:lineRule="exact"/>
              <w:ind w:left="19"/>
              <w:jc w:val="center"/>
              <w:rPr>
                <w:i/>
                <w:lang w:val="it-IT"/>
              </w:rPr>
            </w:pPr>
            <w:r>
              <w:rPr>
                <w:i/>
                <w:lang w:val="it-IT"/>
              </w:rPr>
              <w:t xml:space="preserve">Verifiche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e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controlli</w:t>
            </w:r>
            <w:r>
              <w:rPr>
                <w:i/>
                <w:spacing w:val="-9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da</w:t>
            </w:r>
            <w:r>
              <w:rPr>
                <w:i/>
                <w:spacing w:val="-8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condurre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per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garantire</w:t>
            </w:r>
            <w:r>
              <w:rPr>
                <w:i/>
                <w:spacing w:val="-8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il</w:t>
            </w:r>
            <w:r>
              <w:rPr>
                <w:i/>
                <w:spacing w:val="-6"/>
                <w:lang w:val="it-IT"/>
              </w:rPr>
              <w:t xml:space="preserve"> </w:t>
            </w:r>
            <w:r>
              <w:rPr>
                <w:i/>
                <w:lang w:val="it-IT"/>
              </w:rPr>
              <w:t xml:space="preserve">principio</w:t>
            </w:r>
            <w:r>
              <w:rPr>
                <w:i/>
                <w:spacing w:val="-7"/>
                <w:lang w:val="it-IT"/>
              </w:rPr>
              <w:t xml:space="preserve"> </w:t>
            </w:r>
            <w:r>
              <w:rPr>
                <w:i/>
                <w:spacing w:val="-4"/>
                <w:lang w:val="it-IT"/>
              </w:rPr>
              <w:t xml:space="preserve">DNSH</w:t>
            </w:r>
            <w:r>
              <w:rPr>
                <w:i/>
                <w:lang w:val="it-IT"/>
              </w:rPr>
            </w:r>
            <w:r>
              <w:rPr>
                <w:i/>
                <w:lang w:val="it-IT"/>
              </w:rPr>
            </w:r>
          </w:p>
        </w:tc>
      </w:tr>
      <w:tr>
        <w:trPr>
          <w:trHeight w:val="890"/>
        </w:trPr>
        <w:tc>
          <w:tcPr>
            <w:shd w:val="clear" w:color="auto" w:fill="d9d9d9"/>
            <w:tcBorders/>
            <w:tcW w:w="218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181"/>
              <w:ind w:hanging="870" w:left="1065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Tempo</w:t>
            </w:r>
            <w:r>
              <w:rPr>
                <w:b/>
                <w:spacing w:val="-13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di</w:t>
            </w:r>
            <w:r>
              <w:rPr>
                <w:b/>
                <w:spacing w:val="-12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svolgimento</w:t>
            </w:r>
            <w:r>
              <w:rPr>
                <w:b/>
                <w:spacing w:val="-12"/>
                <w:lang w:val="it-IT"/>
              </w:rPr>
              <w:t xml:space="preserve"> </w:t>
            </w:r>
            <w:r>
              <w:rPr>
                <w:b/>
                <w:lang w:val="it-IT"/>
              </w:rPr>
              <w:t xml:space="preserve">delle </w:t>
            </w:r>
            <w:r>
              <w:rPr>
                <w:b/>
                <w:spacing w:val="-2"/>
                <w:lang w:val="it-IT"/>
              </w:rPr>
              <w:t xml:space="preserve">verifiche</w:t>
            </w:r>
            <w:r>
              <w:rPr>
                <w:b/>
                <w:lang w:val="it-IT"/>
              </w:rPr>
            </w:r>
            <w:r>
              <w:rPr>
                <w:b/>
                <w:lang w:val="it-IT"/>
              </w:rPr>
            </w:r>
          </w:p>
        </w:tc>
        <w:tc>
          <w:tcPr>
            <w:shd w:val="clear" w:color="auto" w:fill="d9d9d9"/>
            <w:tcBorders/>
            <w:tcW w:w="48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47"/>
              <w:ind/>
              <w:rPr>
                <w:lang w:val="it-IT"/>
              </w:rPr>
            </w:pPr>
            <w:r>
              <w:rPr>
                <w:lang w:val="it-IT"/>
              </w:rPr>
            </w:r>
            <w:r>
              <w:rPr>
                <w:lang w:val="it-IT"/>
              </w:rPr>
            </w:r>
            <w:r>
              <w:rPr>
                <w:lang w:val="it-IT"/>
              </w:rPr>
            </w:r>
          </w:p>
          <w:p>
            <w:pPr>
              <w:pStyle w:val="929"/>
              <w:pBdr/>
              <w:spacing/>
              <w:ind w:right="8" w:left="27"/>
              <w:jc w:val="center"/>
              <w:rPr>
                <w:b/>
              </w:rPr>
            </w:pPr>
            <w:r>
              <w:rPr>
                <w:b/>
                <w:spacing w:val="-5"/>
              </w:rPr>
              <w:t xml:space="preserve">n.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d9d9d9"/>
            <w:tcBorders/>
            <w:tcW w:w="220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47"/>
              <w:ind/>
              <w:rPr/>
            </w:pPr>
            <w:r/>
            <w:r/>
          </w:p>
          <w:p>
            <w:pPr>
              <w:pStyle w:val="929"/>
              <w:pBdr/>
              <w:spacing/>
              <w:ind w:left="504"/>
              <w:rPr>
                <w:b/>
              </w:rPr>
            </w:pPr>
            <w:r>
              <w:rPr>
                <w:b/>
              </w:rPr>
              <w:t xml:space="preserve">Elemento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di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controllo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d9d9d9"/>
            <w:tcBorders/>
            <w:tcW w:w="1701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181"/>
              <w:ind w:right="429" w:left="496"/>
              <w:rPr>
                <w:b/>
                <w:lang w:val="it-IT"/>
              </w:rPr>
            </w:pPr>
            <w:r>
              <w:rPr>
                <w:b/>
                <w:spacing w:val="-2"/>
                <w:lang w:val="it-IT"/>
              </w:rPr>
              <w:t xml:space="preserve">Esito (Sì/No/Non</w:t>
            </w:r>
            <w:r>
              <w:rPr>
                <w:b/>
                <w:spacing w:val="-11"/>
                <w:lang w:val="it-IT"/>
              </w:rPr>
              <w:t xml:space="preserve"> </w:t>
            </w:r>
            <w:r>
              <w:rPr>
                <w:b/>
                <w:spacing w:val="-2"/>
                <w:lang w:val="it-IT"/>
              </w:rPr>
              <w:t xml:space="preserve">applicabile)</w:t>
            </w:r>
            <w:r>
              <w:rPr>
                <w:b/>
                <w:lang w:val="it-IT"/>
              </w:rPr>
            </w:r>
            <w:r>
              <w:rPr>
                <w:b/>
                <w:lang w:val="it-IT"/>
              </w:rPr>
            </w:r>
          </w:p>
        </w:tc>
        <w:tc>
          <w:tcPr>
            <w:shd w:val="clear" w:color="auto" w:fill="d9d9d9"/>
            <w:tcBorders/>
            <w:tcW w:w="623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47"/>
              <w:ind/>
              <w:rPr>
                <w:lang w:val="it-IT"/>
              </w:rPr>
            </w:pPr>
            <w:r>
              <w:rPr>
                <w:lang w:val="it-IT"/>
              </w:rPr>
            </w:r>
            <w:r>
              <w:rPr>
                <w:lang w:val="it-IT"/>
              </w:rPr>
            </w:r>
            <w:r>
              <w:rPr>
                <w:lang w:val="it-IT"/>
              </w:rPr>
            </w:r>
          </w:p>
          <w:p>
            <w:pPr>
              <w:pStyle w:val="929"/>
              <w:pBdr/>
              <w:spacing/>
              <w:ind w:left="2299"/>
              <w:rPr>
                <w:b/>
              </w:rPr>
            </w:pPr>
            <w:r>
              <w:rPr>
                <w:b/>
                <w:spacing w:val="-2"/>
              </w:rPr>
              <w:t xml:space="preserve">Commento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820"/>
        </w:trPr>
        <w:tc>
          <w:tcPr>
            <w:shd w:val="clear" w:color="auto" w:fill="d9d9d9"/>
            <w:tcBorders/>
            <w:tcW w:w="21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0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 w:before="1"/>
              <w:ind w:firstLine="7" w:left="17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È stata verificata l’esclusione dall’intervento delle caldaie a gas?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23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2007"/>
        </w:trPr>
        <w:tc>
          <w:tcPr>
            <w:shd w:val="clear" w:color="auto" w:fill="e7e6e6"/>
            <w:tcBorders/>
            <w:tcW w:w="21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left="1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Ex-ante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9"/>
              <w:pBdr/>
              <w:spacing w:before="11"/>
              <w:ind w:right="139" w:hanging="3" w:left="16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L'edificio non è adibito all'estrazione, allo stoccaggio, al trasporto o alla produzione di combustibili fossili?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Non sono ammessi edifici ad uso produttivo o similari destinati a: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numPr>
                <w:ilvl w:val="0"/>
                <w:numId w:val="3"/>
              </w:numPr>
              <w:pBdr/>
              <w:tabs>
                <w:tab w:val="left" w:leader="none" w:pos="371"/>
              </w:tabs>
              <w:spacing w:before="1" w:line="242" w:lineRule="auto"/>
              <w:ind w:right="145" w:firstLine="4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estrazione, lo stoccaggio, il trasporto o la produzione di combustibili fossili, compreso 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5" w:lineRule="exact"/>
              <w:ind w:left="88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l'uso</w:t>
            </w:r>
            <w:r>
              <w:rPr>
                <w:color w:val="000000"/>
              </w:rPr>
              <w:t xml:space="preserve"> a valle2 ;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numPr>
                <w:ilvl w:val="0"/>
                <w:numId w:val="2"/>
              </w:numPr>
              <w:pBdr/>
              <w:tabs>
                <w:tab w:val="left" w:leader="none" w:pos="136"/>
                <w:tab w:val="left" w:leader="none" w:pos="557"/>
              </w:tabs>
              <w:spacing/>
              <w:ind w:right="115" w:hanging="12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attività nell'ambito del sistema di scambio di quote di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69" w:firstLine="5" w:left="91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emissione dell'UE (ETS) che generano emissioni di gas a effetto serra previste non inferiori ai pertinenti parametri di riferimento3;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numPr>
                <w:ilvl w:val="0"/>
                <w:numId w:val="2"/>
              </w:numPr>
              <w:pBdr/>
              <w:tabs>
                <w:tab w:val="left" w:leader="none" w:pos="458"/>
                <w:tab w:val="left" w:leader="none" w:pos="631"/>
              </w:tabs>
              <w:spacing w:before="12" w:line="232" w:lineRule="auto"/>
              <w:ind w:right="438" w:hanging="447" w:left="45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attività connesse alle discariche di rifiuti, agli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74" w:left="9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inceneritori4 e agli impianti di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 w:line="260" w:lineRule="exact"/>
              <w:ind w:right="74" w:left="9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trattamento meccanico biologico5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6237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9"/>
        <w:pBdr/>
        <w:spacing/>
        <w:ind/>
        <w:jc w:val="center"/>
        <w:rPr>
          <w:color w:val="000000"/>
        </w:rPr>
        <w:sectPr>
          <w:footnotePr/>
          <w:endnotePr/>
          <w:type w:val="nextPage"/>
          <w:pgSz w:h="11920" w:orient="landscape" w:w="16850"/>
          <w:pgMar w:top="1100" w:right="1275" w:bottom="280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Style w:val="928"/>
        <w:tblW w:w="0" w:type="auto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187"/>
        <w:gridCol w:w="487"/>
        <w:gridCol w:w="2207"/>
        <w:gridCol w:w="2835"/>
        <w:gridCol w:w="4819"/>
      </w:tblGrid>
      <w:tr>
        <w:trPr>
          <w:trHeight w:val="2164"/>
        </w:trPr>
        <w:tc>
          <w:tcPr>
            <w:shd w:val="clear" w:color="auto" w:fill="e7e6e6"/>
            <w:tcBorders/>
            <w:tcW w:w="2187" w:type="dxa"/>
            <w:vMerge w:val="restart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2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9"/>
              <w:pBdr/>
              <w:spacing w:before="16"/>
              <w:ind w:right="145" w:firstLine="4" w:left="16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Per gli interventi che prevedono degli elementi di efficientamento energetico, è verificato il rispetto delle disposizioni del Decreto interministeriale 26 giugno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0" w:lineRule="exact"/>
              <w:ind w:right="159" w:firstLine="1" w:left="18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2015 ed è disponibile della documentazione a supporto?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19" w:type="dxa"/>
            <w:textDirection w:val="lrTb"/>
            <w:noWrap w:val="false"/>
          </w:tcPr>
          <w:p>
            <w:pPr>
              <w:pStyle w:val="929"/>
              <w:pBdr/>
              <w:spacing/>
              <w:ind w:left="11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2164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9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3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9"/>
              <w:pBdr/>
              <w:spacing w:before="2" w:line="242" w:lineRule="auto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stato redatto il report di analisi dell’adattabilità in conformità alle linee guida dell'Appendice A del Regolamento Delegato 2021/2139 (riportate all'appendice 1 della </w:t>
            </w:r>
            <w:r>
              <w:rPr>
                <w:color w:val="000000"/>
                <w:lang w:val="it-IT"/>
              </w:rPr>
              <w:t xml:space="preserve">Guida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44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Operativa</w:t>
            </w:r>
            <w:r>
              <w:rPr>
                <w:color w:val="000000"/>
              </w:rPr>
              <w:t xml:space="preserve">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NA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19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requisito si intende non applicabile agli interventi del presente avviso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302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10348" w:type="dxa"/>
            <w:textDirection w:val="lrTb"/>
            <w:noWrap w:val="false"/>
          </w:tcPr>
          <w:p>
            <w:pPr>
              <w:pStyle w:val="929"/>
              <w:pBdr/>
              <w:spacing w:before="18" w:line="264" w:lineRule="exact"/>
              <w:ind w:left="103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opere che superano la soglia dei 10 milioni di euro, 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8" w:line="264" w:lineRule="exact"/>
              <w:ind w:left="103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rispondere al posto del punto 3 al punto 3.1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6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3.1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9"/>
              <w:pBdr/>
              <w:spacing w:before="1" w:line="242" w:lineRule="auto"/>
              <w:ind w:right="108" w:hanging="3" w:left="12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stata effettuata una valutazione di vulnerabilità e del rischio per il clima in base agli Orientamenti sulla verifica climatica delle infrastrutture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49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2021-2027?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19" w:type="dxa"/>
            <w:vAlign w:val="center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  <w:lang w:val="it-IT"/>
              </w:rPr>
              <w:t xml:space="preserve">La verifica climatica, se richiesta deve essere realizzata a prescindere dall’entità del finanziamento</w:t>
            </w:r>
            <w:r>
              <w:rPr>
                <w:color w:val="000000"/>
                <w:highlight w:val="white"/>
                <w:lang w:val="it-IT"/>
              </w:rPr>
            </w:r>
            <w:r>
              <w:rPr>
                <w:color w:val="000000"/>
                <w:highlight w:val="white"/>
              </w:rPr>
            </w:r>
          </w:p>
        </w:tc>
      </w:tr>
      <w:tr>
        <w:trPr>
          <w:trHeight w:val="1089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10348" w:type="dxa"/>
            <w:textDirection w:val="lrTb"/>
            <w:noWrap w:val="false"/>
          </w:tcPr>
          <w:p>
            <w:pPr>
              <w:pStyle w:val="929"/>
              <w:pBdr/>
              <w:spacing w:line="242" w:lineRule="auto"/>
              <w:ind w:right="60" w:firstLine="3" w:left="81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progetti pubblici, il rispetto dei Criteri Ambientali Minimi (CAM) per l'edilizia approvati con DM 23 giugno 2022 n. 256, GURI n. 183 del 6 agosto 2022</w:t>
            </w:r>
            <w:r>
              <w:rPr>
                <w:rStyle w:val="932"/>
                <w:color w:val="000000"/>
                <w:lang w:val="it-IT"/>
              </w:rPr>
              <w:footnoteReference w:id="2"/>
            </w:r>
            <w:r>
              <w:rPr>
                <w:color w:val="000000"/>
                <w:lang w:val="it-IT"/>
              </w:rPr>
              <w:t xml:space="preserve">, assolve dal rispetto dei vicoli 4,5,6,7,8, 9 e 10. Sarà pertanto sufficiente disporre delle prove di verifica nella fase ex-post. Nel caso in cui il rispetto dei CAM non fosse obbligatorio, si prega di verificare tutti i punti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57" w:lineRule="exact"/>
              <w:ind w:right="64" w:left="8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successivi</w:t>
            </w:r>
            <w:r>
              <w:rPr>
                <w:color w:val="000000"/>
              </w:rPr>
              <w:t xml:space="preserve">: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358"/>
        </w:trPr>
        <w:tc>
          <w:tcPr>
            <w:shd w:val="clear" w:color="auto" w:fill="e7e6e6"/>
            <w:tcBorders>
              <w:top w:val="none" w:color="000000" w:sz="4" w:space="0"/>
            </w:tcBorders>
            <w:tcW w:w="21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1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4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207" w:type="dxa"/>
            <w:textDirection w:val="lrTb"/>
            <w:noWrap w:val="false"/>
          </w:tcPr>
          <w:p>
            <w:pPr>
              <w:pStyle w:val="929"/>
              <w:pBdr/>
              <w:spacing w:line="242" w:lineRule="auto"/>
              <w:ind w:right="55" w:hanging="6" w:left="7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Se applicabile, è stato previsto l'utilizzo di impianti idrico sanitari conformi alle specifiche tecniche e agli standard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54" w:lineRule="exact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riportati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835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19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9"/>
        <w:pBdr/>
        <w:spacing/>
        <w:ind/>
        <w:jc w:val="center"/>
        <w:rPr>
          <w:color w:val="000000"/>
        </w:rPr>
        <w:sectPr>
          <w:footnotePr/>
          <w:endnotePr/>
          <w:type w:val="continuous"/>
          <w:pgSz w:h="11920" w:orient="landscape" w:w="16850"/>
          <w:pgMar w:top="1100" w:right="1275" w:bottom="280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Style w:val="928"/>
        <w:tblW w:w="0" w:type="auto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487"/>
        <w:gridCol w:w="3766"/>
        <w:gridCol w:w="2193"/>
        <w:gridCol w:w="5688"/>
      </w:tblGrid>
      <w:tr>
        <w:trPr>
          <w:trHeight w:val="1091"/>
        </w:trPr>
        <w:tc>
          <w:tcPr>
            <w:shd w:val="clear" w:color="auto" w:fill="e7e6e6"/>
            <w:tcBorders/>
            <w:tcW w:w="1195" w:type="dxa"/>
            <w:vMerge w:val="restart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1" w:line="242" w:lineRule="auto"/>
              <w:ind w:right="130" w:firstLine="4" w:left="14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stato redatto il Piano di gestione rifiuti che considera i requisiti necessari specificati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56" w:lineRule="exact"/>
              <w:ind w:right="76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nella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scheda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089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6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11"/>
              <w:ind w:right="56" w:firstLine="95" w:left="7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Il progetto prevede il rispetto dei criteri di disassemblaggio e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2" w:lineRule="exact"/>
              <w:ind w:left="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fine vita specificati nella scheda tecnica?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9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7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88"/>
              <w:ind w:right="93" w:hanging="5" w:left="11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stato svolto il censimento Manufatti Contenenti Amianto (MCA)?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3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9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8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88"/>
              <w:ind w:right="93" w:firstLine="4" w:left="11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stato redatto il Piano Ambientale di Cantierizzazione (PAC)?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7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4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13"/>
              <w:ind w:right="91" w:hanging="4" w:left="112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state indicate le limitazioni delle caratteristiche di pericolo dei materiali che si prevede di utilizzare (Art. 57,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0" w:lineRule="exact"/>
              <w:ind w:right="74" w:left="9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Regolamento</w:t>
            </w:r>
            <w:r>
              <w:rPr>
                <w:color w:val="000000"/>
              </w:rPr>
              <w:t xml:space="preserve"> CE 1907/2006, REACH)?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440"/>
        </w:trPr>
        <w:tc>
          <w:tcPr>
            <w:shd w:val="clear" w:color="auto" w:fill="e7e6e6"/>
            <w:tcBorders>
              <w:top w:val="none" w:color="000000" w:sz="4" w:space="0"/>
            </w:tcBorders>
            <w:tcW w:w="119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7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10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3766" w:type="dxa"/>
            <w:textDirection w:val="lrTb"/>
            <w:noWrap w:val="false"/>
          </w:tcPr>
          <w:p>
            <w:pPr>
              <w:pStyle w:val="929"/>
              <w:pBdr/>
              <w:spacing w:before="11"/>
              <w:ind w:right="77" w:hanging="5" w:left="9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Verifica dei consumi di legno co</w:t>
            </w:r>
            <w:r>
              <w:rPr>
                <w:color w:val="000000"/>
                <w:lang w:val="it-IT"/>
              </w:rPr>
              <w:t xml:space="preserve">n definizione delle previste condizioni di impiego (certificazione FSC/PEFC o altra certificazione equivalente di prodotto rilasciata sotto accreditamento per il legno vergine, certificazione di prodotto rilasciata sotto accreditamento della provenienza da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55" w:lineRule="exact"/>
              <w:ind w:right="77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recupero</w:t>
            </w:r>
            <w:r>
              <w:rPr>
                <w:color w:val="000000"/>
              </w:rPr>
              <w:t xml:space="preserve">/</w:t>
            </w:r>
            <w:r>
              <w:rPr>
                <w:color w:val="000000"/>
              </w:rPr>
              <w:t xml:space="preserve">riutilizzo</w:t>
            </w:r>
            <w:r>
              <w:rPr>
                <w:color w:val="000000"/>
              </w:rPr>
              <w:t xml:space="preserve">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19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5688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Style w:val="929"/>
        <w:pBdr/>
        <w:spacing/>
        <w:ind/>
        <w:jc w:val="center"/>
        <w:rPr>
          <w:color w:val="000000"/>
        </w:rPr>
        <w:sectPr>
          <w:footnotePr/>
          <w:endnotePr/>
          <w:type w:val="nextPage"/>
          <w:pgSz w:h="11920" w:orient="landscape" w:w="16850"/>
          <w:pgMar w:top="1100" w:right="1275" w:bottom="942" w:left="992" w:header="720" w:footer="720" w:gutter="0"/>
          <w:cols w:num="1" w:sep="0" w:space="720" w:equalWidth="1"/>
        </w:sect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Style w:val="928"/>
        <w:tblW w:w="9633" w:type="dxa"/>
        <w:tblInd w:w="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487"/>
        <w:gridCol w:w="2972"/>
        <w:gridCol w:w="2051"/>
        <w:gridCol w:w="2503"/>
      </w:tblGrid>
      <w:tr>
        <w:trPr>
          <w:trHeight w:val="1626"/>
        </w:trPr>
        <w:tc>
          <w:tcPr>
            <w:shd w:val="clear" w:color="auto" w:fill="e7e6e6"/>
            <w:tcBorders/>
            <w:tcW w:w="1620" w:type="dxa"/>
            <w:vMerge w:val="restart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0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left="19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Ex-Post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50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11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16"/>
              <w:ind w:right="236" w:hanging="4" w:left="25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Per gli interventi di solo acquisto di edificio senza attività di riqualificazione energetica, è disponibile un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0" w:lineRule="exact"/>
              <w:ind w:right="104" w:firstLine="4" w:left="124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attestato di prestazione energetica almeno di classe C?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896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12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16"/>
              <w:ind w:right="96" w:hanging="4" w:left="12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state adottate le eventuali soluzioni di adattabilità definite a seguito della analisi dell’adattabilità o della valutazione di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0" w:lineRule="exact"/>
              <w:ind w:right="74" w:left="9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vulnerabilità e del rischio per il clima realizzata?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gridSpan w:val="4"/>
            <w:shd w:val="clear" w:color="auto" w:fill="e7e6e6"/>
            <w:tcBorders/>
            <w:tcW w:w="8013" w:type="dxa"/>
            <w:textDirection w:val="lrTb"/>
            <w:noWrap w:val="false"/>
          </w:tcPr>
          <w:p>
            <w:pPr>
              <w:pStyle w:val="929"/>
              <w:pBdr/>
              <w:spacing w:before="88" w:line="242" w:lineRule="auto"/>
              <w:ind w:right="64" w:left="8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Nel caso di progetti pubblici, il rispetto dei Criteri Ambientali Minimi (CAM)</w:t>
            </w:r>
            <w:r>
              <w:rPr>
                <w:rStyle w:val="932"/>
                <w:color w:val="000000"/>
                <w:lang w:val="it-IT"/>
              </w:rPr>
              <w:footnoteReference w:id="3"/>
            </w:r>
            <w:r>
              <w:rPr>
                <w:color w:val="000000"/>
                <w:lang w:val="it-IT"/>
              </w:rPr>
              <w:t xml:space="preserve"> per l'edilizia approvati con DM 23 giugno 2022 n. 256, GURI n. 183 del 6 agosto 2022, assolve dal rispetto dei vicoli 13, 14, 15, 16 e 17. Sarà pertanto sufficiente disporre delle prove di verifica nella fase ex-post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626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13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16"/>
              <w:ind w:right="75" w:firstLine="2" w:left="93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Se applicabile, sono disponibili delle schede di prodotto per gli impianti idrico sanitari che indichino il rispetto delle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line="260" w:lineRule="exact"/>
              <w:ind w:right="74" w:left="98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specifiche tecniche e degli standard riportati?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1898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4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1"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14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16"/>
              <w:ind w:right="68" w:left="86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E' disponibile la relazione finale con l’indicazione dei rifiuti prodotti, da cui emerga la destinazione ad una operazione “R” del 70% in peso dei rifiuti da demolizione e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 w:before="2" w:line="249" w:lineRule="exact"/>
              <w:ind w:right="75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costruzione</w:t>
            </w:r>
            <w:r>
              <w:rPr>
                <w:color w:val="000000"/>
              </w:rPr>
              <w:t xml:space="preserve">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  <w:p>
            <w:pPr>
              <w:pStyle w:val="929"/>
              <w:pBdr/>
              <w:spacing/>
              <w:ind w:right="6" w:left="27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15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presenti le schede tecniche dei materiali e sostanze impiegate?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16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presenti le certificazioni FSC/PEFC o altra certificazione equivalente per l'80% del legno vergine?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  <w:tr>
        <w:trPr>
          <w:trHeight w:val="974"/>
        </w:trPr>
        <w:tc>
          <w:tcPr>
            <w:shd w:val="clear" w:color="auto" w:fill="e7e6e6"/>
            <w:tcBorders/>
            <w:tcW w:w="1620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color w:val="000000"/>
                <w:lang w:val="it-IT"/>
              </w:rPr>
            </w:pP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  <w:r>
              <w:rPr>
                <w:rFonts w:cs="Calibri"/>
                <w:color w:val="000000"/>
                <w:lang w:val="it-IT"/>
              </w:rPr>
            </w:r>
          </w:p>
        </w:tc>
        <w:tc>
          <w:tcPr>
            <w:tcBorders/>
            <w:tcW w:w="487" w:type="dxa"/>
            <w:textDirection w:val="lrTb"/>
            <w:noWrap w:val="false"/>
          </w:tcPr>
          <w:p>
            <w:pPr>
              <w:pStyle w:val="929"/>
              <w:pBdr/>
              <w:spacing w:before="88"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</w:rPr>
              <w:t xml:space="preserve">17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972" w:type="dxa"/>
            <w:textDirection w:val="lrTb"/>
            <w:noWrap w:val="false"/>
          </w:tcPr>
          <w:p>
            <w:pPr>
              <w:pStyle w:val="929"/>
              <w:pBdr/>
              <w:spacing w:before="88"/>
              <w:ind w:right="74" w:left="95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Sono disponibili le schede tecniche del materiale (legno) impiegato (da riutilizzo/riciclo)?</w:t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051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  <w:tc>
          <w:tcPr>
            <w:tcBorders/>
            <w:tcW w:w="2503" w:type="dxa"/>
            <w:textDirection w:val="lrTb"/>
            <w:noWrap w:val="false"/>
          </w:tcPr>
          <w:p>
            <w:pPr>
              <w:pStyle w:val="929"/>
              <w:pBdr/>
              <w:spacing/>
              <w:ind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  <w:r>
              <w:rPr>
                <w:color w:val="000000"/>
                <w:lang w:val="it-IT"/>
              </w:rPr>
            </w:r>
          </w:p>
        </w:tc>
      </w:tr>
    </w:tbl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after="0" w:line="240" w:lineRule="auto"/>
        <w:ind w:hanging="1134" w:left="1134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tbl>
      <w:tblPr>
        <w:tblW w:w="0" w:type="auto"/>
        <w:tblInd w:w="70" w:type="dxa"/>
        <w:tblBorders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6"/>
        <w:gridCol w:w="1282"/>
        <w:gridCol w:w="3522"/>
        <w:gridCol w:w="160"/>
        <w:gridCol w:w="160"/>
        <w:gridCol w:w="160"/>
        <w:gridCol w:w="233"/>
        <w:gridCol w:w="2043"/>
      </w:tblGrid>
      <w:tr>
        <w:trPr>
          <w:trHeight w:val="300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6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 xml:space="preserve">                      Il RUP                             </w:t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82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2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6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8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3" w:type="dxa"/>
            <w:vAlign w:val="bottom"/>
            <w:textDirection w:val="lrTb"/>
            <w:noWrap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43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rPr>
                <w:rFonts w:eastAsia="Times New Roman" w:cs="Calibri"/>
                <w:color w:val="000000"/>
                <w:lang w:eastAsia="it-IT"/>
              </w:rPr>
            </w:pPr>
            <w:r>
              <w:rPr>
                <w:rFonts w:eastAsia="Times New Roman" w:cs="Calibri"/>
                <w:color w:val="000000"/>
                <w:lang w:eastAsia="it-IT"/>
              </w:rPr>
              <w:t xml:space="preserve">Il legale Rappresentante</w:t>
            </w:r>
            <w:r>
              <w:rPr>
                <w:rFonts w:eastAsia="Times New Roman" w:cs="Calibri"/>
                <w:color w:val="000000"/>
                <w:lang w:eastAsia="it-IT"/>
              </w:rPr>
            </w:r>
            <w:r>
              <w:rPr>
                <w:rFonts w:eastAsia="Times New Roman" w:cs="Calibri"/>
                <w:color w:val="000000"/>
                <w:lang w:eastAsia="it-IT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 w:after="0" w:line="240" w:lineRule="auto"/>
        <w:ind w:hanging="142" w:left="142"/>
        <w:jc w:val="both"/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7"/>
        <w:tblW w:w="0" w:type="auto"/>
        <w:tblBorders/>
        <w:tblLook w:val="04A0" w:firstRow="1" w:lastRow="0" w:firstColumn="1" w:lastColumn="0" w:noHBand="0" w:noVBand="1"/>
      </w:tblPr>
      <w:tblGrid>
        <w:gridCol w:w="1409"/>
        <w:gridCol w:w="453"/>
        <w:gridCol w:w="4359"/>
        <w:gridCol w:w="1374"/>
        <w:gridCol w:w="2028"/>
      </w:tblGrid>
      <w:tr>
        <w:trPr>
          <w:trHeight w:val="526"/>
        </w:trPr>
        <w:tc>
          <w:tcPr>
            <w:gridSpan w:val="5"/>
            <w:shd w:val="clear" w:color="f2dbda" w:fill="f2dbda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745" w:type="dxa"/>
            <w:vAlign w:val="bottom"/>
            <w:textDirection w:val="lrTb"/>
            <w:noWrap w:val="false"/>
          </w:tcPr>
          <w:p>
            <w:pPr>
              <w:pBdr/>
              <w:spacing w:line="240" w:lineRule="auto"/>
              <w:ind w:hanging="1134" w:left="1134"/>
              <w:jc w:val="both"/>
              <w:rPr>
                <w:rFonts w:ascii="Calibri Light" w:hAnsi="Calibri Light" w:eastAsia="Times New Roman"/>
                <w:b/>
                <w:bCs/>
                <w:color w:val="1f4d78"/>
                <w:sz w:val="30"/>
                <w:szCs w:val="30"/>
              </w:rPr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3  - Acquisto, Leasing e Noleggio di computer e apparecchiature elettriche ed elettroniche</w:t>
            </w:r>
            <w:r>
              <w:rPr>
                <w:rFonts w:ascii="Calibri Light" w:hAnsi="Calibri Light" w:eastAsia="Times New Roman"/>
                <w:b/>
                <w:bCs/>
                <w:color w:val="1f4d78"/>
                <w:sz w:val="30"/>
                <w:szCs w:val="30"/>
              </w:rPr>
            </w:r>
            <w:r>
              <w:rPr>
                <w:rFonts w:ascii="Calibri Light" w:hAnsi="Calibri Light" w:eastAsia="Times New Roman"/>
                <w:b/>
                <w:bCs/>
                <w:color w:val="1f4d78"/>
                <w:sz w:val="30"/>
                <w:szCs w:val="30"/>
              </w:rPr>
            </w:r>
          </w:p>
        </w:tc>
      </w:tr>
      <w:tr>
        <w:trPr>
          <w:trHeight w:val="970"/>
        </w:trPr>
        <w:tc>
          <w:tcPr>
            <w:shd w:val="clear" w:color="d8d8d8" w:fill="d8d8d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applicabile)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disponibile l'iscrizione alla piattaforma RAEE in qualità di produttore e/o distributore e/o fornitore?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prodotti elettronici acquistati sono dotati di un’etichetta ambientale di tipo I, secondo la UNI EN ISO 14024, ad esempio TCO Certified, EPEAT 2018, Blue Angel, TÜV Green Product Mark o di etichetta equivalente)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cs="Calibri"/>
                <w:i/>
                <w:color w:val="000000"/>
              </w:rPr>
              <w:t xml:space="preserve">Specificare il tipo di etichetta ambientale di tipo I</w:t>
            </w:r>
            <w:r/>
          </w:p>
        </w:tc>
      </w:tr>
      <w:tr>
        <w:trPr>
          <w:trHeight w:val="27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In caso di assenza di un’etichetta ambientale di tipo I dovranno essere verificati i requisiti seguenti al posto del punto 2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L'AEE è dotata di Etichetta EPA ENERGY STAR?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In alternativa al punto 3, rispondere al punto 3.1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3.1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disponi</w:t>
            </w:r>
            <w:r>
              <w:rPr>
                <w:rFonts w:cs="Calibri"/>
                <w:color w:val="000000"/>
              </w:rPr>
              <w:t xml:space="preserve">bile una dichiarazione del produttore che attesti che il consumo tipico di energia elettrica (Etec), calcolato per ogni dispositivo offerto, non superi il TEC massimo necessario (Etec-max) in linea con quanto descritto nell’Allegato III dei criteri GPP UE?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server e prodotti di archiviazioni dati, è disponibile la dichiarazione dei produttori/fornitori di conformità alla seguente normativa: ecodesign (Regolamento (EU) 2019/424)?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computer fissi e display, è presente la marcatura di alloggiamenti e mascherine di plastica secondo gli standard ISO 11469 e ISO 1043?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31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Nel caso di fornitura di apparecchiature TIC ricondizionate/rifabbricate, è disponibile una delle certificazioni di sistema di gestione seguente:</w:t>
            </w:r>
            <w:r>
              <w:rPr>
                <w:rFonts w:cs="Calibri"/>
                <w:color w:val="000000"/>
              </w:rPr>
              <w:br/>
              <w:t xml:space="preserve">•ISO 9001 e ISO 14001/regolamento EMAS (certificazione di sistema di gestione disponibile sotto accreditamento –il campo di applicazione della certificazione dovrà riportare lo specifico scopo richiesto);</w:t>
            </w:r>
            <w:r>
              <w:rPr>
                <w:rFonts w:cs="Calibri"/>
                <w:color w:val="000000"/>
              </w:rPr>
              <w:br/>
              <w:t xml:space="preserve">•EN 50614:2020 (qualora l'apparecchiatura sia stata precedentemente scartata come rifiuto </w:t>
            </w:r>
            <w:r>
              <w:rPr>
                <w:rFonts w:cs="Calibri"/>
                <w:color w:val="000000"/>
              </w:rPr>
              <w:t xml:space="preserve">RAEE, e preparata per il riutilizzo per lo stesso scopo per cui è stata concepita)?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È disponibile una dichiarazione del produttore/fornitore di rispetto della seguente normativa: RoHS (Direttiva 2011/65/EU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.); Compatibilità elettromagnetica (Direttiva 2014/30/UE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state indicate le limitazioni delle caratteristiche di pericolo dei materiali che si prevede utilizzare (Art. 57, Regolamento CE 1907/2006, REACH)?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3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5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i/>
                <w:color w:val="000000"/>
              </w:rPr>
              <w:t xml:space="preserve">Alle apparecchiature per stampa, copia, multifunzione e servizi di </w:t>
            </w:r>
            <w:r>
              <w:rPr>
                <w:rFonts w:cs="Calibri"/>
                <w:b/>
                <w:i/>
                <w:color w:val="000000"/>
              </w:rPr>
              <w:t xml:space="preserve">Print&amp;Copy</w:t>
            </w:r>
            <w:r>
              <w:rPr>
                <w:rFonts w:cs="Calibri"/>
                <w:b/>
                <w:i/>
                <w:color w:val="000000"/>
              </w:rPr>
              <w:t xml:space="preserve"> si applica un requisito trasversale</w:t>
            </w:r>
            <w:r/>
          </w:p>
        </w:tc>
      </w:tr>
      <w:tr>
        <w:trPr>
          <w:trHeight w:val="12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verificata la conformità alle specifiche tecniche e clausole contrattuali dei Criteri ambientali minimi “Affidamento del servizio di stampa gestit</w:t>
            </w:r>
            <w:r>
              <w:rPr>
                <w:rFonts w:cs="Calibri"/>
                <w:color w:val="000000"/>
              </w:rPr>
              <w:t xml:space="preserve">a, affidamento del servizio di noleggio di stampanti e di apparecchiature multifunzione per ufficio e acquisto o il leasing di stampanti e di apparecchiature multifunzione per ufficio, approvato con DM 17 ottobre 2019, in G.U. n. 261 del 7 novembre 2019” 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8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7"/>
        <w:tblW w:w="9619" w:type="dxa"/>
        <w:tblInd w:w="5" w:type="dxa"/>
        <w:tblBorders/>
        <w:tblLayout w:type="fixed"/>
        <w:tblLook w:val="04A0" w:firstRow="1" w:lastRow="0" w:firstColumn="1" w:lastColumn="0" w:noHBand="0" w:noVBand="1"/>
      </w:tblPr>
      <w:tblGrid>
        <w:gridCol w:w="2220"/>
        <w:gridCol w:w="945"/>
        <w:gridCol w:w="2769"/>
        <w:gridCol w:w="1417"/>
        <w:gridCol w:w="2268"/>
      </w:tblGrid>
      <w:tr>
        <w:trPr>
          <w:trHeight w:val="915"/>
        </w:trPr>
        <w:tc>
          <w:tcPr>
            <w:gridSpan w:val="5"/>
            <w:shd w:val="clear" w:color="auto" w:fill="fbe4d5" w:themeFill="accent2" w:themeFillTint="3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1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4 - Acquisto, Leasing, Noleggio di apparecchiature elettriche ed elettroniche utilizzate nel settore sanitario</w:t>
            </w:r>
            <w:r>
              <w:rPr>
                <w:rFonts w:cs="Calibri"/>
                <w:b/>
                <w:color w:val="000000"/>
              </w:rPr>
            </w:r>
            <w:r>
              <w:rPr>
                <w:rFonts w:cs="Calibri"/>
                <w:b/>
                <w:color w:val="000000"/>
              </w:rPr>
            </w:r>
          </w:p>
        </w:tc>
      </w:tr>
      <w:tr>
        <w:trPr>
          <w:trHeight w:val="915"/>
        </w:trPr>
        <w:tc>
          <w:tcPr>
            <w:shd w:val="clear" w:color="d8d8d8" w:fill="d8d8d8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 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 /No/Non applicabile)</w:t>
            </w:r>
            <w:r/>
          </w:p>
        </w:tc>
        <w:tc>
          <w:tcPr>
            <w:shd w:val="clear" w:color="d8d8d8" w:fill="d8d8d8"/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d’istruzione, disponibile in formato elettronico, sono comprese istruzioni che spieghino come ridurre al minimo il consumo di energia?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d’istruzione, disponibile in formato elettronico, sono comprese istruzioni che spieghino come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ridurre al minimo il consumo di acqua?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rende disponibili le parti di ricambio originali o equivalenti (direttamente o tramite mandatari) per la durata di vita prevista dell'apparecchiatura, per un periodo di almeno cinque anni oltre al periodo di garanzia?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fornisce le raccomandazioni per un'adeguata manutenzione del prodotto, comprese informazioni sulle parti di ricambio che possono essere sostituite, consigli per la pulizia?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Nel libretto di istruzioni per gli utenti è illustrato come utilizzare l'apparecchiatura per ridurre al minimo l'impatto ambientale durante l'installazione, l'utilizzo, il funzionamento e lo smaltimento/riciclaggio?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L'offerente è regolarmente iscritto alla piattaforma RAEE, in qualità di produttore e/o distributore?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Sono state indicate le limitazioni delle caratteristiche di pericolo dei materiali che si prevede utilizzare (Art. 57, Regolamento CE 1907/2006, REACH)?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832"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E' disponibile una dichiarazione del produttore/fornitore di rispetto della seguente normativa: RoHS (Direttiva 2011/65/EU 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ss.m.i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.); Compatibilità elettromagnetica (Direttiva 2014/30/UE e 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ss.m.i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.), ecodesign (Regolamento (EU) 2019/424)?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-437"/>
              <w:rPr/>
            </w:pPr>
            <w:r/>
            <w:r/>
          </w:p>
        </w:tc>
      </w:tr>
      <w:tr>
        <w:trPr>
          <w:trHeight w:val="96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Ex-post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6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E' svolta la regolare manutenzione preventiva dell’AEE?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pBdr/>
              <w:spacing/>
              <w:ind w:right="-295"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tbl>
      <w:tblPr>
        <w:tblStyle w:val="927"/>
        <w:tblW w:w="0" w:type="auto"/>
        <w:tblBorders/>
        <w:tblLook w:val="04A0" w:firstRow="1" w:lastRow="0" w:firstColumn="1" w:lastColumn="0" w:noHBand="0" w:noVBand="1"/>
      </w:tblPr>
      <w:tblGrid>
        <w:gridCol w:w="1470"/>
        <w:gridCol w:w="450"/>
        <w:gridCol w:w="4380"/>
        <w:gridCol w:w="1441"/>
        <w:gridCol w:w="1887"/>
      </w:tblGrid>
      <w:tr>
        <w:trPr>
          <w:trHeight w:val="450"/>
        </w:trPr>
        <w:tc>
          <w:tcPr>
            <w:gridSpan w:val="5"/>
            <w:shd w:val="clear" w:color="f2dbda" w:fill="f2dbd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53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cs="Calibri"/>
                <w:b/>
                <w:i/>
                <w:color w:val="000000"/>
                <w:sz w:val="28"/>
              </w:rPr>
              <w:t xml:space="preserve">Scheda 6 - Servizi informatici di hosting e cloud  </w:t>
            </w:r>
            <w:r/>
          </w:p>
        </w:tc>
      </w:tr>
      <w:tr>
        <w:trPr>
          <w:trHeight w:val="855"/>
        </w:trPr>
        <w:tc>
          <w:tcPr>
            <w:shd w:val="clear" w:color="d8d8d8" w:fill="d8d8d8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Tempo di svolgimento delle verifiche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n.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Elemento di controllo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Esito</w:t>
            </w:r>
            <w:r>
              <w:rPr>
                <w:rFonts w:cs="Calibri"/>
                <w:b/>
                <w:color w:val="000000"/>
              </w:rPr>
              <w:br/>
              <w:t xml:space="preserve"> (Sì/No/Non applicabile)</w:t>
            </w:r>
            <w:r/>
          </w:p>
        </w:tc>
        <w:tc>
          <w:tcPr>
            <w:shd w:val="clear" w:color="d8d8d8" w:fill="d8d8d8"/>
            <w:tcBorders>
              <w:top w:val="single" w:color="auto" w:sz="4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b/>
                <w:color w:val="000000"/>
              </w:rPr>
              <w:t xml:space="preserve">Commento</w:t>
            </w:r>
            <w:r/>
          </w:p>
        </w:tc>
      </w:tr>
      <w:tr>
        <w:trPr>
          <w:trHeight w:val="83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 ante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disponibile una Certificazione di sistema di gestione ambientale di tipo ISO 14001 o EMAS rilasciata sotto accreditamento?</w:t>
            </w:r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d8d8d8" w:fill="d8d8d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Il requisito 1 verifica il rispetto del principio DNSH in maniera trasversale per tutti gli obiettivi ambientali rilevanti. Nel caso in cui questo non fosse disponibile, rispondere ai punti successivi</w:t>
            </w:r>
            <w:r/>
          </w:p>
        </w:tc>
      </w:tr>
      <w:tr>
        <w:trPr>
          <w:trHeight w:val="13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disponibile una comunicazione del calcolo della media ponderata del potenziale di riscaldamento globale, anche per l'inventario dei refrigeranti utilizzati nei siti o per fornire il servizio, e dimostra</w:t>
            </w:r>
            <w:r>
              <w:rPr>
                <w:rFonts w:cs="Calibri"/>
                <w:color w:val="000000"/>
              </w:rPr>
              <w:t xml:space="preserve">zione dell’aderenza al metodo descritto nell'allegato IV del regolamento (UE) n. 517/2014,oppure un sistema di gestione dell'energia (norma ISO 50001) o un sistema di gestione ambientale (sistema EMAS o norma ISO 14001) che riportino l'uso di refrigeranti?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d8d8d8" w:fill="d8d8d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 punti 3,4 e 5 sono alternativi</w:t>
            </w:r>
            <w:r/>
          </w:p>
        </w:tc>
      </w:tr>
      <w:tr>
        <w:trPr>
          <w:trHeight w:val="109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stati svolti degli studi di fattibilità per l’i</w:t>
            </w:r>
            <w:r>
              <w:rPr>
                <w:rFonts w:cs="Calibri"/>
                <w:color w:val="000000"/>
              </w:rPr>
              <w:t xml:space="preserve">mplementazione e il rispetto di tutte le “pratiche attese” incluse nella versione più recente del codice di condotta europeo sull’efficienza energetica dei centri dati e hanno attuato tutte le pratiche attese a cui è stato assegnato il valore massimo di 5?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02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data center che ospitano i servizi di hosting e cloud aderiscono alle pratiche raccomandate contenute nel CEN-CENELEC documento CLC TR50600-99-1 "Data centre facilities and </w:t>
            </w:r>
            <w:r>
              <w:rPr>
                <w:rFonts w:cs="Calibri"/>
                <w:color w:val="000000"/>
              </w:rPr>
              <w:t xml:space="preserve">infrastructures</w:t>
            </w:r>
            <w:r>
              <w:rPr>
                <w:rFonts w:cs="Calibri"/>
                <w:color w:val="000000"/>
              </w:rPr>
              <w:t xml:space="preserve">- Part 99-1 : </w:t>
            </w:r>
            <w:r>
              <w:rPr>
                <w:rFonts w:cs="Calibri"/>
                <w:color w:val="000000"/>
              </w:rPr>
              <w:t xml:space="preserve">Recommended</w:t>
            </w:r>
            <w:r>
              <w:rPr>
                <w:rFonts w:cs="Calibri"/>
                <w:color w:val="000000"/>
              </w:rPr>
              <w:t xml:space="preserve"> practices for energy management?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94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rispettati tutti i Criteri dell'UE applicabili in materia di appalti pubblici verdi per i centri dati, le sale server e servizi cloud e fornite le relative prove di verifica?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I data center che ospitano i servizi di hosting e cloud hanno un piano di gestione dei rifiuti?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gridSpan w:val="4"/>
            <w:shd w:val="clear" w:color="eeece1" w:fill="eeece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Nel caso in cui fosse verificato il punto 5, i punti 7 e 8 si ritengono automaticamente verificati</w:t>
            </w:r>
            <w:r/>
          </w:p>
        </w:tc>
      </w:tr>
      <w:tr>
        <w:trPr>
          <w:trHeight w:val="9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E' disponibile una dichiarazione dei produttori/fornitori di conformità alla seguente normativa: ecodesign (Regolamento (EU) 2019/424) considerato che la conformità alle normative può essere dimostrata anche tramite </w:t>
            </w:r>
            <w:r>
              <w:rPr>
                <w:rFonts w:cs="Calibri"/>
                <w:color w:val="000000"/>
              </w:rPr>
              <w:t xml:space="preserve">il sistema di gestione ISO 30134:2016 certificato da organismi di certificazione accreditati?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580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La conf</w:t>
            </w:r>
            <w:r>
              <w:rPr>
                <w:rFonts w:cs="Calibri"/>
                <w:color w:val="000000"/>
              </w:rPr>
              <w:t xml:space="preserve">ormità delle apparecchiature dei data center è autocertificata dal produttore/fornitore tramite una dichiarazione resa ai sensi del D.P.R. n. 445/2000, adeguandosi alla seguente normativa: REACH (Regolamento (CE) n.1907/2006); RoHS (Direttiva 2011/65/EU e </w:t>
            </w:r>
            <w:r>
              <w:rPr>
                <w:rFonts w:cs="Calibri"/>
                <w:color w:val="000000"/>
              </w:rPr>
              <w:t xml:space="preserve">ss.m.i</w:t>
            </w:r>
            <w:r>
              <w:rPr>
                <w:rFonts w:cs="Calibri"/>
                <w:color w:val="000000"/>
              </w:rPr>
              <w:t xml:space="preserve">.); compatibilità elettromagnetica (Direttiva 2014/30/UE). La conformità alla norma RoHS può essere dimostrata applicando la norma EN IEC 63000:2018?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10"/>
        </w:trPr>
        <w:tc>
          <w:tcPr>
            <w:shd w:val="clear" w:color="eeece1" w:fill="eeece1"/>
            <w:tcBorders>
              <w:top w:val="single" w:color="000000" w:sz="12" w:space="0"/>
              <w:left w:val="single" w:color="000000" w:sz="12" w:space="0"/>
              <w:bottom w:val="none" w:color="000000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Ex post</w:t>
            </w:r>
            <w:r/>
          </w:p>
        </w:tc>
        <w:tc>
          <w:tcPr>
            <w:gridSpan w:val="4"/>
            <w:shd w:val="clear" w:color="eeece1" w:fill="eeece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3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i/>
                <w:color w:val="000000"/>
              </w:rPr>
              <w:t xml:space="preserve">I punti 9 e 10 sono alternativi</w:t>
            </w:r>
            <w:r/>
          </w:p>
        </w:tc>
      </w:tr>
      <w:tr>
        <w:trPr>
          <w:trHeight w:val="1405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Sono rispettate tutte le indicazioni definite nei Criteri dell'UE in materia di appalti pubblici verdi per i centri dati, le sale server e i servizi cloud della Commissione Europea applicabili e sono disponibili le relative prove di verifica?</w:t>
            </w:r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000000" w:sz="6" w:space="0"/>
              <w:bottom w:val="single" w:color="7f7f7f" w:sz="6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1405"/>
        </w:trPr>
        <w:tc>
          <w:tcPr>
            <w:shd w:val="clear" w:color="eeece1" w:fill="eeece1"/>
            <w:tcBorders>
              <w:top w:val="none" w:color="000000" w:sz="4" w:space="0"/>
              <w:left w:val="single" w:color="000000" w:sz="12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2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10</w:t>
            </w:r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cs="Calibri"/>
                <w:color w:val="000000"/>
              </w:rPr>
              <w:t xml:space="preserve">L’adesione al </w:t>
            </w:r>
            <w:r>
              <w:rPr>
                <w:rFonts w:cs="Calibri"/>
                <w:color w:val="000000"/>
              </w:rPr>
              <w:t xml:space="preserve">European</w:t>
            </w:r>
            <w:r>
              <w:rPr>
                <w:rFonts w:cs="Calibri"/>
                <w:color w:val="000000"/>
              </w:rPr>
              <w:t xml:space="preserve"> Code of </w:t>
            </w:r>
            <w:r>
              <w:rPr>
                <w:rFonts w:cs="Calibri"/>
                <w:color w:val="000000"/>
              </w:rPr>
              <w:t xml:space="preserve">Conduct</w:t>
            </w:r>
            <w:r>
              <w:rPr>
                <w:rFonts w:cs="Calibri"/>
                <w:color w:val="000000"/>
              </w:rPr>
              <w:t xml:space="preserve"> for Data Centre Energy </w:t>
            </w:r>
            <w:r>
              <w:rPr>
                <w:rFonts w:cs="Calibri"/>
                <w:color w:val="000000"/>
              </w:rPr>
              <w:t xml:space="preserve">Efficiency</w:t>
            </w:r>
            <w:r>
              <w:rPr>
                <w:rFonts w:cs="Calibri"/>
                <w:color w:val="000000"/>
              </w:rPr>
              <w:t xml:space="preserve"> o l’attuazione delle pratiche attese in esso descritte (o nel documento CEN- CENELEC CLC TR50600-99-1 Data centre facilities and </w:t>
            </w:r>
            <w:r>
              <w:rPr>
                <w:rFonts w:cs="Calibri"/>
                <w:color w:val="000000"/>
              </w:rPr>
              <w:t xml:space="preserve">infrastructures</w:t>
            </w:r>
            <w:r>
              <w:rPr>
                <w:rFonts w:cs="Calibri"/>
                <w:color w:val="000000"/>
              </w:rPr>
              <w:t xml:space="preserve"> - Part 99-1: </w:t>
            </w:r>
            <w:r>
              <w:rPr>
                <w:rFonts w:cs="Calibri"/>
                <w:color w:val="000000"/>
              </w:rPr>
              <w:t xml:space="preserve">Recommended</w:t>
            </w:r>
            <w:r>
              <w:rPr>
                <w:rFonts w:cs="Calibri"/>
                <w:color w:val="000000"/>
              </w:rPr>
              <w:t xml:space="preserve"> practices for energy management) è stata verificata da una parte terza indipendente ed è stato svolto un audit almeno ogni tre anni?</w:t>
            </w:r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7f7f7f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top w:val="single" w:color="7f7f7f" w:sz="6" w:space="0"/>
              <w:left w:val="single" w:color="7f7f7f" w:sz="6" w:space="0"/>
              <w:bottom w:val="single" w:color="000000" w:sz="12" w:space="0"/>
              <w:right w:val="single" w:color="000000" w:sz="12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7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hanging="1134" w:left="1134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Bdr/>
        <w:spacing w:line="240" w:lineRule="auto"/>
        <w:ind w:firstLine="0" w:left="0"/>
        <w:jc w:val="both"/>
        <w:rPr>
          <w:rFonts w:ascii="Calibri Light" w:hAnsi="Calibri Light" w:eastAsia="Times New Roman"/>
          <w:b/>
          <w:bCs/>
          <w:color w:val="1f4d78"/>
          <w:sz w:val="30"/>
          <w:szCs w:val="30"/>
        </w:rPr>
      </w:pP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  <w:r>
        <w:rPr>
          <w:rFonts w:ascii="Calibri Light" w:hAnsi="Calibri Light" w:eastAsia="Times New Roman"/>
          <w:b/>
          <w:bCs/>
          <w:color w:val="1f4d78"/>
          <w:sz w:val="30"/>
          <w:szCs w:val="30"/>
        </w:rPr>
      </w:r>
    </w:p>
    <w:p>
      <w:pPr>
        <w:pStyle w:val="731"/>
        <w:pBdr/>
        <w:spacing w:before="0"/>
        <w:ind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Allegato 10 </w:t>
      </w:r>
      <w:bookmarkStart w:id="0" w:name="_Toc195096229"/>
      <w:r>
        <w:rPr>
          <w:rFonts w:ascii="Times New Roman" w:hAnsi="Times New Roman"/>
          <w:b/>
          <w:bCs/>
          <w:sz w:val="22"/>
          <w:szCs w:val="22"/>
        </w:rPr>
        <w:t xml:space="preserve">– </w:t>
      </w:r>
      <w:r>
        <w:rPr>
          <w:rFonts w:ascii="Times New Roman" w:hAnsi="Times New Roman"/>
          <w:b/>
          <w:sz w:val="22"/>
          <w:szCs w:val="22"/>
        </w:rPr>
        <w:t xml:space="preserve">Modello per l’autodichiarazione del rispetto del principio DNSH e del </w:t>
      </w:r>
      <w:r>
        <w:rPr>
          <w:rFonts w:ascii="Times New Roman" w:hAnsi="Times New Roman"/>
          <w:b/>
          <w:sz w:val="22"/>
          <w:szCs w:val="22"/>
        </w:rPr>
        <w:t xml:space="preserve">Climate</w:t>
      </w:r>
      <w:r>
        <w:rPr>
          <w:rFonts w:ascii="Times New Roman" w:hAnsi="Times New Roman"/>
          <w:b/>
          <w:sz w:val="22"/>
          <w:szCs w:val="22"/>
        </w:rPr>
        <w:t xml:space="preserve"> Proofing” </w:t>
      </w:r>
      <w:bookmarkEnd w:id="0"/>
      <w:r>
        <w:rPr>
          <w:rFonts w:ascii="Times New Roman" w:hAnsi="Times New Roman"/>
          <w:b/>
          <w:sz w:val="22"/>
          <w:szCs w:val="22"/>
        </w:rPr>
      </w:r>
      <w:r>
        <w:rPr>
          <w:rFonts w:ascii="Times New Roman" w:hAnsi="Times New Roman"/>
          <w:b/>
          <w:sz w:val="22"/>
          <w:szCs w:val="22"/>
        </w:rPr>
      </w:r>
    </w:p>
    <w:p>
      <w:pPr>
        <w:pBdr/>
        <w:spacing/>
        <w:ind/>
        <w:jc w:val="center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/>
        <w:ind/>
        <w:jc w:val="center"/>
        <w:rPr>
          <w:rFonts w:ascii="Times New Roman" w:hAnsi="Times New Roman" w:eastAsia="Times New Roman"/>
          <w:b/>
          <w:color w:val="1f4d78"/>
        </w:rPr>
      </w:pPr>
      <w:r>
        <w:rPr>
          <w:rFonts w:ascii="Times New Roman" w:hAnsi="Times New Roman" w:eastAsia="Times New Roman"/>
          <w:b/>
          <w:color w:val="1f4d78"/>
        </w:rPr>
        <w:t xml:space="preserve">AI SENSI DEGLI ARTT 46 e 47 D.P.R. n. 445/2000</w:t>
      </w:r>
      <w:r>
        <w:rPr>
          <w:rFonts w:ascii="Times New Roman" w:hAnsi="Times New Roman" w:eastAsia="Times New Roman"/>
          <w:b/>
          <w:color w:val="1f4d78"/>
        </w:rPr>
      </w:r>
      <w:r>
        <w:rPr>
          <w:rFonts w:ascii="Times New Roman" w:hAnsi="Times New Roman" w:eastAsia="Times New Roman"/>
          <w:b/>
          <w:color w:val="1f4d78"/>
        </w:rPr>
      </w:r>
    </w:p>
    <w:p>
      <w:pPr>
        <w:pBdr/>
        <w:spacing w:before="54"/>
        <w:ind w:right="-33"/>
        <w:jc w:val="center"/>
        <w:rPr>
          <w:rFonts w:cs="Calibri"/>
          <w:b/>
          <w:bCs/>
          <w:spacing w:val="-6"/>
        </w:rPr>
      </w:pPr>
      <w:r>
        <w:rPr>
          <w:rFonts w:cs="Calibri"/>
          <w:b/>
          <w:bCs/>
          <w:spacing w:val="-6"/>
        </w:rPr>
      </w:r>
      <w:r>
        <w:rPr>
          <w:rFonts w:cs="Calibri"/>
          <w:b/>
          <w:bCs/>
          <w:spacing w:val="-6"/>
        </w:rPr>
      </w:r>
      <w:r>
        <w:rPr>
          <w:rFonts w:cs="Calibri"/>
          <w:b/>
          <w:bCs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Il/la</w:t>
      </w:r>
      <w:r>
        <w:rPr>
          <w:rFonts w:ascii="Times New Roman" w:hAnsi="Times New Roman"/>
          <w:spacing w:val="-6"/>
        </w:rPr>
        <w:tab/>
        <w:t xml:space="preserve">sottoscritto/a</w:t>
      </w:r>
      <w:r>
        <w:rPr>
          <w:rFonts w:ascii="Times New Roman" w:hAnsi="Times New Roman"/>
          <w:spacing w:val="-6"/>
        </w:rPr>
        <w:tab/>
        <w:t xml:space="preserve">..................................</w:t>
      </w:r>
      <w:r>
        <w:rPr>
          <w:rFonts w:ascii="Times New Roman" w:hAnsi="Times New Roman"/>
          <w:spacing w:val="-6"/>
        </w:rPr>
        <w:t xml:space="preserve">...............................................................................…nato/a a...........................il.............................e residente in........................……. nella qualità di Legale Rappresentante dell’Ente ...................</w:t>
      </w:r>
      <w:r>
        <w:rPr>
          <w:rFonts w:ascii="Times New Roman" w:hAnsi="Times New Roman"/>
          <w:spacing w:val="-6"/>
        </w:rPr>
        <w:t xml:space="preserve">.................................................codice fiscale ……………………………………, consapevole delle sanzioni penali previste dall’art. 76 del D.P.R. n. 445/2000, in caso di dichiarazioni mendaci o contenenti dati non rispondenti a verità o uso di atti falsi,</w:t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center"/>
        <w:rPr>
          <w:rFonts w:ascii="Times New Roman" w:hAnsi="Times New Roman"/>
          <w:b/>
          <w:bCs/>
          <w:spacing w:val="-6"/>
        </w:rPr>
      </w:pPr>
      <w:r>
        <w:rPr>
          <w:rFonts w:ascii="Times New Roman" w:hAnsi="Times New Roman"/>
          <w:b/>
          <w:bCs/>
          <w:spacing w:val="-6"/>
        </w:rPr>
      </w:r>
      <w:r>
        <w:rPr>
          <w:rFonts w:ascii="Times New Roman" w:hAnsi="Times New Roman"/>
          <w:b/>
          <w:bCs/>
          <w:spacing w:val="-6"/>
        </w:rPr>
      </w:r>
      <w:r>
        <w:rPr>
          <w:rFonts w:ascii="Times New Roman" w:hAnsi="Times New Roman"/>
          <w:b/>
          <w:bCs/>
          <w:spacing w:val="-6"/>
        </w:rPr>
      </w:r>
    </w:p>
    <w:p>
      <w:pPr>
        <w:pBdr/>
        <w:spacing w:before="54"/>
        <w:ind w:right="-33"/>
        <w:jc w:val="center"/>
        <w:rPr>
          <w:rFonts w:ascii="Times New Roman" w:hAnsi="Times New Roman"/>
          <w:b/>
          <w:bCs/>
          <w:spacing w:val="-6"/>
        </w:rPr>
      </w:pPr>
      <w:r>
        <w:rPr>
          <w:rFonts w:ascii="Times New Roman" w:hAnsi="Times New Roman"/>
          <w:b/>
          <w:bCs/>
          <w:spacing w:val="-6"/>
        </w:rPr>
        <w:t xml:space="preserve">DICHIARA sotto la propria responsabilità </w:t>
      </w:r>
      <w:r>
        <w:rPr>
          <w:rFonts w:ascii="Times New Roman" w:hAnsi="Times New Roman"/>
          <w:b/>
          <w:bCs/>
          <w:spacing w:val="-6"/>
        </w:rPr>
      </w:r>
      <w:r>
        <w:rPr>
          <w:rFonts w:ascii="Times New Roman" w:hAnsi="Times New Roman"/>
          <w:b/>
          <w:bCs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Che il potenziale investimento, che sarà finanziato/per il quale si chiede l’ammissione a finanziamento sul PR FESR Sicilia 2021-2027, sarà realizzato nel rispetto del principio di “non arrecare danno significativo” (DNSH) agli obiettivi ambientali di cui </w:t>
      </w:r>
      <w:r>
        <w:rPr>
          <w:rFonts w:ascii="Times New Roman" w:hAnsi="Times New Roman"/>
          <w:spacing w:val="-6"/>
        </w:rPr>
        <w:t xml:space="preserve">all’art. 9 del Regolamento EU 2020/852, a norma dell’articolo 17 del medesimo Regolamento (UE) 2020/852 e nel rispetto dei criteri di vaglio tecnico pertinenti di cui all’Allegato II del Reg. 2139/2021, in conformità alle indicazioni riportate nell’Avviso.</w:t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Che l’investimento/progetto sarà conforme alle prescrizioni e le raccomandazioni riportate nella “Relazione di approfondimento valutativo del principio DNSH” allegata all’Avviso;</w:t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numPr>
          <w:ilvl w:val="0"/>
          <w:numId w:val="1"/>
        </w:numPr>
        <w:pBdr/>
        <w:spacing w:before="54"/>
        <w:ind w:right="-33"/>
        <w:jc w:val="both"/>
        <w:rPr>
          <w:rFonts w:ascii="Times New Roman" w:hAnsi="Times New Roman"/>
          <w:spacing w:val="-6"/>
          <w:highlight w:val="white"/>
        </w:rPr>
      </w:pPr>
      <w:r>
        <w:rPr>
          <w:rFonts w:ascii="Times New Roman" w:hAnsi="Times New Roman"/>
          <w:spacing w:val="-6"/>
          <w:highlight w:val="white"/>
        </w:rPr>
        <w:t xml:space="preserve">Di impegnarsi a produrre la “Relazione di verifica climatica” redatta secondo la metodologia riportata negli Indirizzi nazionali e indicati dal Manuale per l’attuazione di cui all’Allegato 11 dell’Avviso;</w:t>
      </w:r>
      <w:r>
        <w:rPr>
          <w:rFonts w:ascii="Times New Roman" w:hAnsi="Times New Roman"/>
          <w:spacing w:val="-6"/>
          <w:highlight w:val="white"/>
        </w:rPr>
      </w:r>
      <w:r>
        <w:rPr>
          <w:rFonts w:ascii="Times New Roman" w:hAnsi="Times New Roman"/>
          <w:spacing w:val="-6"/>
          <w:highlight w:val="white"/>
        </w:rPr>
      </w:r>
    </w:p>
    <w:p>
      <w:pPr>
        <w:numPr>
          <w:ilvl w:val="0"/>
          <w:numId w:val="1"/>
        </w:num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Di impegnarsi a conservare in originale sino all'integrale </w:t>
      </w:r>
      <w:r>
        <w:rPr>
          <w:rFonts w:ascii="Times New Roman" w:hAnsi="Times New Roman"/>
          <w:spacing w:val="-6"/>
        </w:rPr>
        <w:t xml:space="preserve">rimborso del finanziamento tutta la documentazione relativa alle spese ammissibili e (ii) a fornire tale documentazione, ai fini dei controlli effettuati dagli organi competenti, qualora richiesto in sede di verifica di conformità sul principio DNSH e del </w:t>
      </w:r>
      <w:r>
        <w:rPr>
          <w:rFonts w:ascii="Times New Roman" w:hAnsi="Times New Roman"/>
          <w:spacing w:val="-6"/>
        </w:rPr>
        <w:t xml:space="preserve">Climate</w:t>
      </w:r>
      <w:r>
        <w:rPr>
          <w:rFonts w:ascii="Times New Roman" w:hAnsi="Times New Roman"/>
          <w:spacing w:val="-6"/>
        </w:rPr>
        <w:t xml:space="preserve"> Proofing.</w:t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before="54"/>
        <w:ind w:right="-33"/>
        <w:jc w:val="both"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 xml:space="preserve">Data ................................................</w:t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</w:r>
      <w:r>
        <w:rPr>
          <w:rFonts w:ascii="Times New Roman" w:hAnsi="Times New Roman"/>
          <w:spacing w:val="-6"/>
        </w:rPr>
        <w:tab/>
        <w:t xml:space="preserve">Il Legale Rappresentante [firmato digitalmente]</w:t>
      </w:r>
      <w:r>
        <w:rPr>
          <w:rFonts w:ascii="Times New Roman" w:hAnsi="Times New Roman"/>
          <w:spacing w:val="-6"/>
        </w:rPr>
      </w:r>
      <w:r>
        <w:rPr>
          <w:rFonts w:ascii="Times New Roman" w:hAnsi="Times New Roman"/>
          <w:spacing w:val="-6"/>
        </w:rPr>
      </w:r>
    </w:p>
    <w:p>
      <w:pPr>
        <w:pBdr/>
        <w:spacing w:line="240" w:lineRule="auto"/>
        <w:ind w:hanging="1134" w:left="1134"/>
        <w:jc w:val="both"/>
        <w:rPr>
          <w:rFonts w:ascii="Times New Roman" w:hAnsi="Times New Roman" w:eastAsia="Times New Roman"/>
          <w:b/>
          <w:bCs/>
          <w:color w:val="1f4d78"/>
          <w:sz w:val="30"/>
          <w:szCs w:val="30"/>
        </w:rPr>
      </w:pPr>
      <w:r>
        <w:rPr>
          <w:rFonts w:ascii="Times New Roman" w:hAnsi="Times New Roman"/>
          <w:b/>
          <w:bCs/>
          <w:spacing w:val="-6"/>
        </w:rPr>
        <w:br w:type="page" w:clear="all"/>
      </w:r>
      <w:r>
        <w:rPr>
          <w:rFonts w:ascii="Times New Roman" w:hAnsi="Times New Roman" w:eastAsia="Times New Roman"/>
          <w:b/>
          <w:bCs/>
          <w:color w:val="1f4d78"/>
          <w:sz w:val="30"/>
          <w:szCs w:val="30"/>
        </w:rPr>
      </w:r>
      <w:r>
        <w:rPr>
          <w:rFonts w:ascii="Times New Roman" w:hAnsi="Times New Roman" w:eastAsia="Times New Roman"/>
          <w:b/>
          <w:bCs/>
          <w:color w:val="1f4d78"/>
          <w:sz w:val="30"/>
          <w:szCs w:val="30"/>
        </w:rPr>
      </w:r>
    </w:p>
    <w:p>
      <w:pPr>
        <w:pStyle w:val="933"/>
        <w:pBdr/>
        <w:tabs>
          <w:tab w:val="clear" w:leader="none" w:pos="1320"/>
          <w:tab w:val="left" w:leader="none" w:pos="2677"/>
          <w:tab w:val="clear" w:leader="none" w:pos="9638"/>
        </w:tabs>
        <w:spacing/>
        <w:ind w:left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color w:val="1f4d78"/>
        </w:rPr>
        <w:t xml:space="preserve">Allegato 11 - Schema di relazione per il rispetto del </w:t>
      </w:r>
      <w:r>
        <w:rPr>
          <w:rFonts w:ascii="Times New Roman" w:hAnsi="Times New Roman" w:eastAsia="Times New Roman"/>
          <w:b/>
          <w:color w:val="1f4d78"/>
        </w:rPr>
        <w:t xml:space="preserve">climateproofing</w:t>
      </w:r>
      <w:r>
        <w:rPr>
          <w:rFonts w:ascii="Times New Roman" w:hAnsi="Times New Roman" w:eastAsia="Times New Roman"/>
          <w:b/>
          <w:color w:val="1f4d78"/>
        </w:rPr>
        <w:t xml:space="preserve"> (immunizzazione dagli effetti del clima – verifica climatica)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Bdr/>
        <w:spacing w:after="0" w:line="240" w:lineRule="auto"/>
        <w:ind w:hanging="1134" w:left="1134"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</w:p>
    <w:tbl>
      <w:tblPr>
        <w:tblW w:w="0" w:type="auto"/>
        <w:tblInd w:w="55" w:type="dxa"/>
        <w:tblBorders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3"/>
      </w:tblGrid>
      <w:tr>
        <w:trPr>
          <w:trHeight w:val="372"/>
        </w:trPr>
        <w:tc>
          <w:tcPr>
            <w:shd w:val="clear" w:color="000000" w:fill="fbe4d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563" w:type="dxa"/>
            <w:vAlign w:val="bottom"/>
            <w:textDirection w:val="lrTb"/>
            <w:noWrap w:val="false"/>
          </w:tcPr>
          <w:p>
            <w:pPr>
              <w:pBdr/>
              <w:spacing w:after="0" w:line="240" w:lineRule="auto"/>
              <w:ind/>
              <w:jc w:val="center"/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pP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  <w:t xml:space="preserve">Relazione di verifica climatica</w:t>
            </w: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r>
            <w:r>
              <w:rPr>
                <w:rFonts w:eastAsia="Times New Roman" w:cs="Calibri"/>
                <w:b/>
                <w:bCs/>
                <w:i/>
                <w:iCs/>
                <w:color w:val="000000"/>
                <w:sz w:val="28"/>
                <w:szCs w:val="28"/>
                <w:lang w:eastAsia="it-IT"/>
              </w:rPr>
            </w:r>
          </w:p>
        </w:tc>
      </w:tr>
    </w:tbl>
    <w:p>
      <w:pPr>
        <w:pBdr/>
        <w:spacing w:after="0" w:line="240" w:lineRule="auto"/>
        <w:ind/>
        <w:rPr>
          <w:rFonts w:eastAsia="Times New Roman" w:cs="Calibri"/>
          <w:lang w:eastAsia="it-IT"/>
        </w:rPr>
      </w:pP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  <w:r>
        <w:rPr>
          <w:rFonts w:eastAsia="Times New Roman" w:cs="Calibri"/>
          <w:lang w:eastAsia="it-IT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highlight w:val="white"/>
        </w:rPr>
      </w:pP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Con il presente Avviso, la Regione intende rispettare e conformarsi, secondo quanto previstone all</w:t>
      </w:r>
      <w:r>
        <w:rPr>
          <w:rFonts w:hint="eastAsia" w:eastAsia="Times New Roman" w:cs="Calibri"/>
          <w:i/>
          <w:color w:val="000000"/>
          <w:sz w:val="18"/>
          <w:szCs w:val="18"/>
          <w:lang w:eastAsia="it-IT"/>
        </w:rPr>
        <w:t xml:space="preserve">’</w:t>
      </w:r>
      <w:r>
        <w:rPr>
          <w:rFonts w:eastAsia="Times New Roman" w:cs="Calibri"/>
          <w:i/>
          <w:color w:val="000000"/>
          <w:sz w:val="18"/>
          <w:szCs w:val="18"/>
          <w:lang w:eastAsia="it-IT"/>
        </w:rPr>
        <w:t xml:space="preserve">art. 73, par. 2 lett. j) del 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Regolamento (UE) 2021/1060, garantendo </w:t>
      </w:r>
      <w:r>
        <w:rPr>
          <w:rFonts w:hint="eastAsia"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“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l</w:t>
      </w:r>
      <w:r>
        <w:rPr>
          <w:rFonts w:hint="eastAsia"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’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immunizzazione dagli effetti del clima degli investimenti in infrastrutture la cui durata attesa </w:t>
      </w:r>
      <w:r>
        <w:rPr>
          <w:rFonts w:hint="eastAsia"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è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 di almeno cinque anni</w:t>
      </w:r>
      <w:r>
        <w:rPr>
          <w:rFonts w:hint="eastAsia"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”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, così come indicato all’art. 3.2 dell’Avviso e riportato anche 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nel riportato nel Manuale per l’attuazione 29 luglio 2026 2026 del PR FESR Sicilia 2021-2027, approvato con DDG 94/DRP del 10.02.2026 del Dipartimento della Programmazione, al paragrafo 5.6.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highlight w:val="white"/>
        </w:rPr>
      </w:pP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highlight w:val="white"/>
        </w:rPr>
      </w:pP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Considerato l’esito riportato nell’ALLEGATO </w:t>
      </w:r>
      <w:r>
        <w:rPr>
          <w:rFonts w:cs="Calibri"/>
          <w:i/>
          <w:spacing w:val="-3"/>
          <w:sz w:val="18"/>
          <w:szCs w:val="18"/>
          <w:highlight w:val="white"/>
        </w:rPr>
        <w:t xml:space="preserve">“</w:t>
      </w:r>
      <w:r>
        <w:rPr>
          <w:rFonts w:cs="Calibri"/>
          <w:i/>
          <w:iCs/>
          <w:spacing w:val="-3"/>
          <w:sz w:val="18"/>
          <w:szCs w:val="18"/>
          <w:highlight w:val="white"/>
        </w:rPr>
        <w:t xml:space="preserve">Relazione </w:t>
      </w:r>
      <w:r>
        <w:rPr>
          <w:rFonts w:cs="Calibri"/>
          <w:i/>
          <w:iCs/>
          <w:spacing w:val="-3"/>
          <w:sz w:val="18"/>
          <w:szCs w:val="18"/>
          <w:highlight w:val="white"/>
        </w:rPr>
        <w:t xml:space="preserve">di Verifica preliminare del rispetto</w:t>
      </w:r>
      <w:r>
        <w:rPr>
          <w:rFonts w:cs="Calibri"/>
          <w:i/>
          <w:iCs/>
          <w:spacing w:val="-3"/>
          <w:sz w:val="18"/>
          <w:szCs w:val="18"/>
          <w:highlight w:val="white"/>
        </w:rPr>
        <w:t xml:space="preserve"> del principio DNSH</w:t>
      </w:r>
      <w:r>
        <w:rPr>
          <w:rFonts w:cs="Calibri"/>
          <w:i/>
          <w:spacing w:val="-3"/>
          <w:sz w:val="18"/>
          <w:szCs w:val="18"/>
          <w:highlight w:val="white"/>
        </w:rPr>
        <w:t xml:space="preserve">” allegato 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al Decreto di approvazione dell’Avviso a cura dell’UCO (e sintetica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  <w:t xml:space="preserve">mente riportato nella tabella seguente), necessario l’impegno del beneficiario/soggetto attuatore a produrre una specifica “relazione di verifica climatica” redatta secondo la metodologia riportata negli Indirizzi nazionali e indicati dal suddetto Manuale.</w:t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sz w:val="18"/>
          <w:szCs w:val="18"/>
          <w:highlight w:val="white"/>
        </w:rPr>
      </w:pP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  <w:lang w:eastAsia="it-IT"/>
        </w:rPr>
      </w:r>
      <w:r>
        <w:rPr>
          <w:rFonts w:eastAsia="Times New Roman" w:cs="Calibri"/>
          <w:i/>
          <w:color w:val="000000"/>
          <w:sz w:val="18"/>
          <w:szCs w:val="18"/>
          <w:highlight w:val="white"/>
        </w:rPr>
      </w:r>
    </w:p>
    <w:tbl>
      <w:tblPr>
        <w:tblStyle w:val="927"/>
        <w:tblW w:w="0" w:type="auto"/>
        <w:tblBorders/>
        <w:tblLook w:val="04A0" w:firstRow="1" w:lastRow="0" w:firstColumn="1" w:lastColumn="0" w:noHBand="0" w:noVBand="1"/>
      </w:tblPr>
      <w:tblGrid>
        <w:gridCol w:w="1684"/>
        <w:gridCol w:w="7944"/>
      </w:tblGrid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  <w:t xml:space="preserve">Procedura di selezione</w:t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tabs>
                <w:tab w:val="right" w:leader="none" w:pos="7835"/>
              </w:tabs>
              <w:spacing w:line="240" w:lineRule="auto"/>
              <w:ind/>
              <w:rPr>
                <w:rFonts w:cs="Calibri"/>
                <w:b/>
                <w:i/>
                <w:iCs/>
                <w:sz w:val="18"/>
                <w:szCs w:val="18"/>
                <w:highlight w:val="white"/>
              </w:rPr>
            </w:pPr>
            <w:r>
              <w:rPr>
                <w:rFonts w:cs="Calibri"/>
                <w:iCs/>
                <w:sz w:val="18"/>
                <w:szCs w:val="18"/>
                <w:highlight w:val="white"/>
              </w:rPr>
              <w:t xml:space="preserve">AVVISO Azione 4.5.1 per la manifestazione di interesse alla presentazione di progetti relativi a “</w:t>
            </w:r>
            <w:r>
              <w:rPr>
                <w:rFonts w:ascii="Calibri Light" w:hAnsi="Calibri Light" w:eastAsia="Calibri Light" w:cs="Calibri Light"/>
                <w:sz w:val="18"/>
                <w:szCs w:val="18"/>
                <w:highlight w:val="white"/>
              </w:rPr>
              <w:t xml:space="preserve">Favorire la riorganizzazione e qualificazione dei servizi sanitari territoriali e per il </w:t>
            </w:r>
            <w:r>
              <w:rPr>
                <w:rFonts w:ascii="Calibri Light" w:hAnsi="Calibri Light" w:eastAsia="Calibri Light" w:cs="Calibri Light"/>
                <w:i/>
                <w:iCs/>
                <w:sz w:val="18"/>
                <w:szCs w:val="18"/>
                <w:highlight w:val="white"/>
              </w:rPr>
              <w:t xml:space="preserve">long </w:t>
            </w:r>
            <w:r>
              <w:rPr>
                <w:rFonts w:ascii="Calibri Light" w:hAnsi="Calibri Light" w:eastAsia="Calibri Light" w:cs="Calibri Light"/>
                <w:i/>
                <w:iCs/>
                <w:sz w:val="18"/>
                <w:szCs w:val="18"/>
                <w:highlight w:val="white"/>
              </w:rPr>
              <w:t xml:space="preserve">term</w:t>
            </w:r>
            <w:r>
              <w:rPr>
                <w:rFonts w:ascii="Calibri Light" w:hAnsi="Calibri Light" w:eastAsia="Calibri Light" w:cs="Calibri Light"/>
                <w:sz w:val="18"/>
                <w:szCs w:val="18"/>
                <w:highlight w:val="white"/>
              </w:rPr>
              <w:t xml:space="preserve"> care al fine di ridurre le diseguaglianze nell’accesso e i divari nel territorio</w:t>
            </w:r>
            <w:r>
              <w:rPr>
                <w:rFonts w:ascii="Calibri Light" w:hAnsi="Calibri Light" w:eastAsia="Calibri Light" w:cs="Calibri Light"/>
                <w:iCs/>
                <w:sz w:val="18"/>
                <w:szCs w:val="18"/>
                <w:highlight w:val="white"/>
              </w:rPr>
              <w:t xml:space="preserve">”</w:t>
            </w:r>
            <w:r>
              <w:rPr>
                <w:rFonts w:cs="Calibri"/>
                <w:b/>
                <w:i/>
                <w:iCs/>
                <w:sz w:val="18"/>
                <w:szCs w:val="18"/>
                <w:highlight w:val="white"/>
              </w:rPr>
              <w:tab/>
            </w:r>
            <w:r>
              <w:rPr>
                <w:rFonts w:cs="Calibri"/>
                <w:b/>
                <w:i/>
                <w:iCs/>
                <w:sz w:val="18"/>
                <w:szCs w:val="18"/>
                <w:highlight w:val="white"/>
              </w:rPr>
            </w:r>
            <w:r>
              <w:rPr>
                <w:rFonts w:cs="Calibri"/>
                <w:b/>
                <w:i/>
                <w:iCs/>
                <w:sz w:val="18"/>
                <w:szCs w:val="18"/>
                <w:highlight w:val="white"/>
              </w:rPr>
            </w:r>
          </w:p>
        </w:tc>
      </w:tr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pP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  <w:t xml:space="preserve">Campi di intervento </w:t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eastAsia="Calibri Light" w:cs="Calibri Light"/>
                <w:b/>
                <w:sz w:val="20"/>
                <w:szCs w:val="20"/>
                <w:highlight w:val="white"/>
              </w:rPr>
              <w:t xml:space="preserve">128 </w:t>
            </w:r>
            <w:r>
              <w:rPr>
                <w:rFonts w:ascii="Calibri Light" w:hAnsi="Calibri Light" w:eastAsia="Calibri Light" w:cs="Calibri Light"/>
                <w:sz w:val="20"/>
                <w:szCs w:val="20"/>
                <w:highlight w:val="white"/>
              </w:rPr>
              <w:t xml:space="preserve">Infrastrutture per la sanità</w:t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  <w:highlight w:val="white"/>
              </w:rPr>
              <w:t xml:space="preserve">129</w:t>
            </w:r>
            <w:r>
              <w:rPr>
                <w:rFonts w:ascii="Calibri Light" w:hAnsi="Calibri Light" w:eastAsia="Calibri Light" w:cs="Calibri Light"/>
                <w:sz w:val="20"/>
                <w:szCs w:val="20"/>
                <w:highlight w:val="white"/>
              </w:rPr>
              <w:t xml:space="preserve"> Attrezzature sanitarie</w:t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  <w:highlight w:val="white"/>
              </w:rPr>
              <w:t xml:space="preserve">130</w:t>
            </w:r>
            <w:r>
              <w:rPr>
                <w:rFonts w:ascii="Calibri Light" w:hAnsi="Calibri Light" w:eastAsia="Calibri Light" w:cs="Calibri Light"/>
                <w:sz w:val="20"/>
                <w:szCs w:val="20"/>
                <w:highlight w:val="white"/>
              </w:rPr>
              <w:t xml:space="preserve"> Beni mobili per la salute</w:t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  <w:r>
              <w:rPr>
                <w:rFonts w:ascii="Calibri Light" w:hAnsi="Calibri Light" w:eastAsia="Calibri Light" w:cs="Calibri Light"/>
                <w:sz w:val="24"/>
                <w:szCs w:val="24"/>
                <w:highlight w:val="white"/>
              </w:rPr>
            </w:r>
          </w:p>
          <w:p>
            <w:pPr>
              <w:pBdr/>
              <w:spacing w:line="276" w:lineRule="auto"/>
              <w:ind/>
              <w:rPr>
                <w:rFonts w:ascii="Calibri Light" w:hAnsi="Calibri Light" w:cs="Calibri Light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Calibri Light" w:hAnsi="Calibri Light" w:eastAsia="Calibri Light" w:cs="Calibri Light"/>
                <w:b/>
                <w:bCs/>
                <w:sz w:val="20"/>
                <w:szCs w:val="20"/>
                <w:highlight w:val="white"/>
              </w:rPr>
              <w:t xml:space="preserve">131 </w:t>
            </w:r>
            <w:r>
              <w:rPr>
                <w:rFonts w:ascii="Calibri Light" w:hAnsi="Calibri Light" w:eastAsia="Calibri Light" w:cs="Calibri Light"/>
                <w:sz w:val="20"/>
                <w:szCs w:val="20"/>
                <w:highlight w:val="white"/>
              </w:rPr>
              <w:t xml:space="preserve">Digitalizzazione delle cure sanitarie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pBdr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/>
            <w:tcW w:w="1696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center"/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Verifica climatica richiesta</w:t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r>
          </w:p>
        </w:tc>
        <w:tc>
          <w:tcPr>
            <w:tcBorders/>
            <w:tcW w:w="8051" w:type="dxa"/>
            <w:textDirection w:val="lrTb"/>
            <w:noWrap w:val="false"/>
          </w:tcPr>
          <w:p>
            <w:pPr>
              <w:pBdr/>
              <w:spacing w:line="240" w:lineRule="auto"/>
              <w:ind/>
              <w:jc w:val="both"/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pPr>
            <w:r>
              <w:rPr>
                <w:b/>
                <w:sz w:val="18"/>
                <w:szCs w:val="18"/>
                <w:highlight w:val="white"/>
              </w:rPr>
              <w:t xml:space="preserve">Screening di Mitigazione non richiesto. Screening di Adattamento, da effettuarsi per le sole attività/progetti relative (anche in parte) al settore d’intervento 128, se il progetto prevede: 1) costruzione edifici nuovi; 2) </w:t>
            </w:r>
            <w:r>
              <w:rPr>
                <w:b/>
                <w:sz w:val="18"/>
                <w:szCs w:val="18"/>
                <w:highlight w:val="white"/>
                <w:u w:val="single"/>
              </w:rPr>
              <w:t xml:space="preserve">ristrutturazione importante di edifici esistenti</w:t>
            </w:r>
            <w:r>
              <w:rPr>
                <w:b/>
                <w:sz w:val="18"/>
                <w:szCs w:val="18"/>
                <w:highlight w:val="white"/>
                <w:u w:val="single"/>
                <w:vertAlign w:val="superscript"/>
              </w:rPr>
              <w:t xml:space="preserve">1</w:t>
            </w:r>
            <w:r>
              <w:rPr>
                <w:b/>
                <w:sz w:val="18"/>
                <w:szCs w:val="18"/>
                <w:highlight w:val="white"/>
              </w:rPr>
              <w:t xml:space="preserve">.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b/>
                <w:sz w:val="18"/>
                <w:szCs w:val="18"/>
                <w:highlight w:val="white"/>
              </w:rPr>
              <w:t xml:space="preserve">Analisi dettagliata di Adattamento necessaria se la fase di screening identifica una vulnerabilità medio-alta.</w:t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r>
            <w:r>
              <w:rPr>
                <w:rFonts w:eastAsia="Times New Roman" w:cs="Calibri"/>
                <w:b/>
                <w:i/>
                <w:color w:val="000000"/>
                <w:sz w:val="18"/>
                <w:szCs w:val="18"/>
                <w:highlight w:val="white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eastAsia="Times New Roman" w:cs="Calibri"/>
          <w:color w:val="000000"/>
          <w:highlight w:val="white"/>
        </w:rPr>
      </w:pPr>
      <w:r>
        <w:rPr>
          <w:i/>
          <w:sz w:val="16"/>
          <w:szCs w:val="16"/>
          <w:highlight w:val="white"/>
        </w:rPr>
        <w:t xml:space="preserve">Gli “Indirizzi per la verifica climatic</w:t>
      </w:r>
      <w:r>
        <w:rPr>
          <w:i/>
          <w:sz w:val="16"/>
          <w:szCs w:val="16"/>
          <w:highlight w:val="white"/>
        </w:rPr>
        <w:t xml:space="preserve">a dei progetti infrastrutturali in Italia per il periodo 2021-2027 DPCOE-MASE-JASPER - 6 ottobre 2023”  considerano come “ristrutturazione importante” un intervento il cui volume interessato superi il 25% del volume complessivo dell’edificio. I progetti in</w:t>
      </w:r>
      <w:r>
        <w:rPr>
          <w:i/>
          <w:sz w:val="16"/>
          <w:szCs w:val="16"/>
          <w:highlight w:val="white"/>
        </w:rPr>
        <w:t xml:space="preserve">tegrati che prevedano sia interventi di efficientamento energetico sia altri interventi strutturali/funzionali, rientrano nella fattispecie “ristrutturazione importante” qualora il progetto interessi almeno il 25% della volumetria complessiva dell’edificio</w:t>
      </w:r>
      <w:r>
        <w:rPr>
          <w:rFonts w:eastAsia="Times New Roman" w:cs="Calibri"/>
          <w:color w:val="000000"/>
          <w:highlight w:val="white"/>
          <w:lang w:eastAsia="it-IT"/>
        </w:rPr>
      </w:r>
      <w:r>
        <w:rPr>
          <w:rFonts w:eastAsia="Times New Roman" w:cs="Calibri"/>
          <w:color w:val="000000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color w:val="000000"/>
          <w:highlight w:val="white"/>
        </w:rPr>
      </w:pPr>
      <w:r>
        <w:rPr>
          <w:rFonts w:eastAsia="Times New Roman" w:cs="Calibri"/>
          <w:color w:val="000000"/>
          <w:highlight w:val="white"/>
          <w:lang w:eastAsia="it-IT"/>
        </w:rPr>
      </w:r>
      <w:r>
        <w:rPr>
          <w:rFonts w:eastAsia="Times New Roman" w:cs="Calibri"/>
          <w:color w:val="000000"/>
          <w:highlight w:val="white"/>
          <w:lang w:eastAsia="it-IT"/>
        </w:rPr>
      </w:r>
      <w:r>
        <w:rPr>
          <w:rFonts w:eastAsia="Times New Roman" w:cs="Calibri"/>
          <w:color w:val="000000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highlight w:val="white"/>
        </w:rPr>
      </w:pPr>
      <w:r>
        <w:rPr>
          <w:rFonts w:eastAsia="Times New Roman" w:cs="Calibri"/>
          <w:i/>
          <w:color w:val="000000"/>
          <w:highlight w:val="white"/>
          <w:lang w:eastAsia="it-IT"/>
        </w:rPr>
      </w:r>
      <w:r>
        <w:rPr>
          <w:rFonts w:eastAsia="Times New Roman" w:cs="Calibri"/>
          <w:i/>
          <w:color w:val="000000"/>
          <w:highlight w:val="white"/>
          <w:lang w:eastAsia="it-IT"/>
        </w:rPr>
      </w:r>
      <w:r>
        <w:rPr>
          <w:rFonts w:eastAsia="Times New Roman" w:cs="Calibri"/>
          <w:i/>
          <w:color w:val="000000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highlight w:val="white"/>
        </w:rPr>
      </w:pPr>
      <w:r>
        <w:rPr>
          <w:rFonts w:eastAsia="Times New Roman" w:cs="Calibri"/>
          <w:i/>
          <w:color w:val="000000"/>
          <w:highlight w:val="white"/>
          <w:lang w:eastAsia="it-IT"/>
        </w:rPr>
        <w:t xml:space="preserve">Lo svolgimento della verifica climatica, se dovuta, sarà svo</w:t>
      </w:r>
      <w:r>
        <w:rPr>
          <w:rFonts w:eastAsia="Times New Roman" w:cs="Calibri"/>
          <w:i/>
          <w:color w:val="000000"/>
          <w:highlight w:val="white"/>
          <w:lang w:eastAsia="it-IT"/>
        </w:rPr>
        <w:t xml:space="preserve">lta secondo la metodologia indicata negli “Orientamenti tecnici per infrastrutture a prova di clima nel periodo 2021-2027” e dei contenuti presenti negli “Indirizzi per la verifica climatica dei progetti infrastrutturali in Italia per il periodo 2021-2027 </w:t>
      </w:r>
      <w:r>
        <w:rPr>
          <w:rFonts w:eastAsia="Times New Roman" w:cs="Calibri"/>
          <w:i/>
          <w:color w:val="000000"/>
          <w:highlight w:val="white"/>
          <w:lang w:eastAsia="it-IT"/>
        </w:rPr>
        <w:t xml:space="preserve">DPCoe</w:t>
      </w:r>
      <w:r>
        <w:rPr>
          <w:rFonts w:eastAsia="Times New Roman" w:cs="Calibri"/>
          <w:i/>
          <w:color w:val="000000"/>
          <w:highlight w:val="white"/>
          <w:lang w:eastAsia="it-IT"/>
        </w:rPr>
        <w:t xml:space="preserve"> - MASE - JASPERS 6 ottobre 2023” come indicato nel Manuale di attuazione del Programma e in alternativa l’indicazione del Vademecum IFEL</w:t>
      </w:r>
      <w:r>
        <w:rPr>
          <w:rFonts w:eastAsia="Times New Roman" w:cs="Calibri"/>
          <w:i/>
          <w:color w:val="000000"/>
          <w:highlight w:val="white"/>
          <w:lang w:eastAsia="it-IT"/>
        </w:rPr>
      </w:r>
      <w:r>
        <w:rPr>
          <w:rFonts w:eastAsia="Times New Roman" w:cs="Calibri"/>
          <w:i/>
          <w:color w:val="000000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i/>
          <w:color w:val="000000"/>
          <w:highlight w:val="white"/>
        </w:rPr>
      </w:pPr>
      <w:r>
        <w:rPr>
          <w:rFonts w:eastAsia="Times New Roman" w:cs="Calibri"/>
          <w:i/>
          <w:color w:val="000000"/>
          <w:highlight w:val="white"/>
          <w:lang w:eastAsia="it-IT"/>
        </w:rPr>
      </w:r>
      <w:r>
        <w:rPr>
          <w:rFonts w:eastAsia="Times New Roman" w:cs="Calibri"/>
          <w:i/>
          <w:color w:val="000000"/>
          <w:highlight w:val="white"/>
          <w:lang w:eastAsia="it-IT"/>
        </w:rPr>
      </w:r>
      <w:r>
        <w:rPr>
          <w:rFonts w:eastAsia="Times New Roman" w:cs="Calibri"/>
          <w:i/>
          <w:color w:val="000000"/>
          <w:highlight w:val="white"/>
        </w:rPr>
      </w:r>
    </w:p>
    <w:p>
      <w:pPr>
        <w:pBdr/>
        <w:spacing w:after="0" w:line="240" w:lineRule="auto"/>
        <w:ind/>
        <w:jc w:val="both"/>
        <w:rPr>
          <w:rFonts w:eastAsia="Times New Roman" w:cs="Calibri"/>
          <w:b/>
          <w:color w:val="000000"/>
          <w:sz w:val="20"/>
          <w:szCs w:val="20"/>
          <w:highlight w:val="white"/>
        </w:rPr>
      </w:pP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  <w:t xml:space="preserve">La verifica climatica dell’infrastruttura oggetto della proposta progettuale sopra riportata, laddove richiesta, deve essere effettuata e firmata digitalmente da un tecnico abilitato ovvero iscritto all’Albo professionale di riferimento </w:t>
      </w: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  <w:t xml:space="preserve">rationa</w:t>
      </w: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  <w:t xml:space="preserve"> e materie </w:t>
      </w: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  <w:t xml:space="preserve">e configurarsi come un elaborato autonomo e trasmesso con la documentazione per l’ammissione a finanziamento</w:t>
      </w: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  <w:t xml:space="preserve">.</w:t>
      </w:r>
      <w:r>
        <w:rPr>
          <w:rFonts w:eastAsia="Times New Roman" w:cs="Calibri"/>
          <w:b/>
          <w:color w:val="000000"/>
          <w:sz w:val="20"/>
          <w:szCs w:val="20"/>
          <w:highlight w:val="white"/>
          <w:lang w:eastAsia="it-IT"/>
        </w:rPr>
      </w:r>
      <w:r>
        <w:rPr>
          <w:rFonts w:eastAsia="Times New Roman" w:cs="Calibri"/>
          <w:b/>
          <w:color w:val="000000"/>
          <w:sz w:val="20"/>
          <w:szCs w:val="20"/>
          <w:highlight w:val="white"/>
        </w:rPr>
      </w:r>
    </w:p>
    <w:p>
      <w:pPr>
        <w:pBdr/>
        <w:spacing/>
        <w:ind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sectPr>
      <w:footnotePr/>
      <w:endnotePr/>
      <w:type w:val="nextPage"/>
      <w:pgSz w:h="16838" w:orient="portrait" w:w="11906"/>
      <w:pgMar w:top="1417" w:right="1134" w:bottom="1134" w:left="1134" w:header="708" w:footer="708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Symbol">
    <w:panose1 w:val="05050102010706020507"/>
  </w:font>
  <w:font w:name="Wingdings">
    <w:panose1 w:val="05000000000000000000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  <w:footnote w:id="2">
    <w:p>
      <w:pPr>
        <w:pStyle w:val="930"/>
        <w:pBdr/>
        <w:spacing/>
        <w:ind/>
        <w:rPr>
          <w:highlight w:val="white"/>
        </w:rPr>
      </w:pPr>
      <w:r>
        <w:rPr>
          <w:rStyle w:val="932"/>
          <w:highlight w:val="white"/>
        </w:rPr>
        <w:footnoteRef/>
      </w:r>
      <w:r>
        <w:rPr>
          <w:highlight w:val="white"/>
        </w:rPr>
        <w:t xml:space="preserve"> In caso di CAM Edilizia è necessario fare riferimento al CAM vigente alla data di pubblicazione dell’Avviso. </w:t>
      </w:r>
      <w:r>
        <w:rPr>
          <w:highlight w:val="white"/>
        </w:rPr>
      </w:r>
      <w:r>
        <w:rPr>
          <w:highlight w:val="white"/>
        </w:rPr>
      </w:r>
    </w:p>
  </w:footnote>
  <w:footnote w:id="3">
    <w:p>
      <w:pPr>
        <w:pStyle w:val="930"/>
        <w:pBdr/>
        <w:spacing/>
        <w:ind/>
        <w:rPr>
          <w:highlight w:val="white"/>
        </w:rPr>
      </w:pPr>
      <w:r>
        <w:rPr>
          <w:rStyle w:val="932"/>
          <w:highlight w:val="white"/>
        </w:rPr>
        <w:footnoteRef/>
      </w:r>
      <w:r>
        <w:rPr>
          <w:highlight w:val="white"/>
        </w:rPr>
        <w:t xml:space="preserve"> Vedi nota 1 </w:t>
      </w:r>
      <w:r>
        <w:rPr>
          <w:highlight w:val="white"/>
        </w:rPr>
      </w:r>
      <w:r>
        <w:rPr>
          <w:highlight w:val="white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•"/>
      <w:numFmt w:val="bullet"/>
      <w:pPr>
        <w:pBdr/>
        <w:spacing/>
        <w:ind w:hanging="161" w:left="16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61" w:left="440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61" w:left="720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61" w:left="1000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61" w:left="1280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61" w:left="156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61" w:left="1841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61" w:left="2121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61" w:left="2401"/>
      </w:pPr>
      <w:rPr>
        <w:rFonts w:hint="default"/>
        <w:lang w:val="it-IT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"/>
      <w:numFmt w:val="bullet"/>
      <w:pPr>
        <w:pBdr/>
        <w:spacing/>
        <w:ind w:hanging="360" w:left="720"/>
      </w:pPr>
      <w:rPr>
        <w:rFonts w:hint="default" w:ascii="Wingdings" w:hAnsi="Wingdings"/>
        <w:b w:val="0"/>
        <w:i w:val="0"/>
        <w:caps w:val="0"/>
        <w:strike w:val="0"/>
        <w:vanish w:val="0"/>
        <w:color w:val="2f5496"/>
        <w:sz w:val="22"/>
        <w:szCs w:val="20"/>
        <w:vertAlign w:val="baseli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•"/>
      <w:numFmt w:val="bullet"/>
      <w:pPr>
        <w:pBdr/>
        <w:spacing/>
        <w:ind w:hanging="543" w:left="13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543" w:left="422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543" w:left="704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543" w:left="986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543" w:left="1268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543" w:left="155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543" w:left="1833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543" w:left="2115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543" w:left="2397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28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er Char"/>
    <w:basedOn w:val="738"/>
    <w:link w:val="885"/>
    <w:uiPriority w:val="99"/>
    <w:pPr>
      <w:pBdr/>
      <w:spacing/>
      <w:ind/>
    </w:pPr>
  </w:style>
  <w:style w:type="character" w:styleId="726">
    <w:name w:val="Footer Char"/>
    <w:basedOn w:val="738"/>
    <w:link w:val="887"/>
    <w:uiPriority w:val="99"/>
    <w:pPr>
      <w:pBdr/>
      <w:spacing/>
      <w:ind/>
    </w:pPr>
  </w:style>
  <w:style w:type="character" w:styleId="727">
    <w:name w:val="Endnote Text Char"/>
    <w:basedOn w:val="738"/>
    <w:link w:val="891"/>
    <w:uiPriority w:val="99"/>
    <w:semiHidden/>
    <w:pPr>
      <w:pBdr/>
      <w:spacing/>
      <w:ind/>
    </w:pPr>
    <w:rPr>
      <w:sz w:val="20"/>
      <w:szCs w:val="20"/>
    </w:rPr>
  </w:style>
  <w:style w:type="paragraph" w:styleId="728" w:default="1">
    <w:name w:val="Normal"/>
    <w:qFormat/>
    <w:pPr>
      <w:pBdr/>
      <w:spacing w:line="259" w:lineRule="auto"/>
      <w:ind/>
    </w:pPr>
    <w:rPr>
      <w:rFonts w:ascii="Calibri" w:hAnsi="Calibri" w:eastAsia="Calibri" w:cs="Times New Roman"/>
      <w:sz w:val="22"/>
      <w:szCs w:val="22"/>
      <w14:ligatures w14:val="none"/>
    </w:rPr>
  </w:style>
  <w:style w:type="paragraph" w:styleId="729">
    <w:name w:val="Heading 1"/>
    <w:basedOn w:val="728"/>
    <w:next w:val="728"/>
    <w:link w:val="90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730">
    <w:name w:val="Heading 2"/>
    <w:basedOn w:val="728"/>
    <w:next w:val="728"/>
    <w:link w:val="90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731">
    <w:name w:val="Heading 3"/>
    <w:basedOn w:val="728"/>
    <w:next w:val="728"/>
    <w:link w:val="909"/>
    <w:uiPriority w:val="99"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732">
    <w:name w:val="Heading 4"/>
    <w:basedOn w:val="728"/>
    <w:next w:val="728"/>
    <w:link w:val="910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733">
    <w:name w:val="Heading 5"/>
    <w:basedOn w:val="728"/>
    <w:next w:val="728"/>
    <w:link w:val="911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734">
    <w:name w:val="Heading 6"/>
    <w:basedOn w:val="728"/>
    <w:next w:val="728"/>
    <w:link w:val="912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35">
    <w:name w:val="Heading 7"/>
    <w:basedOn w:val="728"/>
    <w:next w:val="728"/>
    <w:link w:val="913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36">
    <w:name w:val="Heading 8"/>
    <w:basedOn w:val="728"/>
    <w:next w:val="728"/>
    <w:link w:val="914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37">
    <w:name w:val="Heading 9"/>
    <w:basedOn w:val="728"/>
    <w:next w:val="728"/>
    <w:link w:val="915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38" w:default="1">
    <w:name w:val="Default Paragraph Font"/>
    <w:uiPriority w:val="1"/>
    <w:semiHidden/>
    <w:unhideWhenUsed/>
    <w:pPr>
      <w:pBdr/>
      <w:spacing/>
      <w:ind/>
    </w:pPr>
  </w:style>
  <w:style w:type="table" w:styleId="73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0" w:default="1">
    <w:name w:val="No List"/>
    <w:uiPriority w:val="99"/>
    <w:semiHidden/>
    <w:unhideWhenUsed/>
    <w:pPr>
      <w:pBdr/>
      <w:spacing/>
      <w:ind/>
    </w:pPr>
  </w:style>
  <w:style w:type="table" w:styleId="741" w:customStyle="1">
    <w:name w:val="Table Grid Light"/>
    <w:basedOn w:val="73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1"/>
    <w:basedOn w:val="73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2"/>
    <w:basedOn w:val="73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1 Light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1 Light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1 Light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2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2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2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3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3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3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1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2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4 - Accent 3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4 - Accent 4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4 - Accent 5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 - Accent 6"/>
    <w:basedOn w:val="73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5 Dark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5 Dark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5 Dark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6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6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6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7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7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7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1 Light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1 Light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1 Light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2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2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2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3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3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3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4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4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4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5 Dark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5 Dark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5 Dark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6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6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6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7 Colorful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7 Colorful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7 Colorful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1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2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ned - Accent 3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ned - Accent 4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ned - Accent 5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 6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1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2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&amp; Lined - Accent 3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&amp; Lined - Accent 4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&amp; Lined - Accent 5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 6"/>
    <w:basedOn w:val="739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1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2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- Accent 3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- Accent 4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- Accent 5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- Accent 6"/>
    <w:basedOn w:val="73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6" w:customStyle="1">
    <w:name w:val="Heading 1 Char"/>
    <w:basedOn w:val="73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867" w:customStyle="1">
    <w:name w:val="Heading 2 Char"/>
    <w:basedOn w:val="73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868" w:customStyle="1">
    <w:name w:val="Heading 3 Char"/>
    <w:basedOn w:val="73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869" w:customStyle="1">
    <w:name w:val="Heading 4 Char"/>
    <w:basedOn w:val="738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870" w:customStyle="1">
    <w:name w:val="Heading 5 Char"/>
    <w:basedOn w:val="73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871" w:customStyle="1">
    <w:name w:val="Heading 6 Char"/>
    <w:basedOn w:val="7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 w:customStyle="1">
    <w:name w:val="Heading 7 Char"/>
    <w:basedOn w:val="73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 w:customStyle="1">
    <w:name w:val="Heading 8 Char"/>
    <w:basedOn w:val="7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 w:customStyle="1">
    <w:name w:val="Heading 9 Char"/>
    <w:basedOn w:val="7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5" w:customStyle="1">
    <w:name w:val="Title Char"/>
    <w:basedOn w:val="7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76" w:customStyle="1">
    <w:name w:val="Subtitle Char"/>
    <w:basedOn w:val="7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7" w:customStyle="1">
    <w:name w:val="Quote Char"/>
    <w:basedOn w:val="73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8" w:customStyle="1">
    <w:name w:val="Intense Quote Char"/>
    <w:basedOn w:val="738"/>
    <w:uiPriority w:val="30"/>
    <w:pPr>
      <w:pBdr/>
      <w:spacing/>
      <w:ind/>
    </w:pPr>
    <w:rPr>
      <w:i/>
      <w:iCs/>
      <w:color w:val="2f5496" w:themeColor="accent1" w:themeShade="BF"/>
    </w:rPr>
  </w:style>
  <w:style w:type="paragraph" w:styleId="879">
    <w:name w:val="No Spacing"/>
    <w:basedOn w:val="728"/>
    <w:uiPriority w:val="1"/>
    <w:qFormat/>
    <w:pPr>
      <w:pBdr/>
      <w:spacing w:after="0" w:line="240" w:lineRule="auto"/>
      <w:ind/>
    </w:pPr>
  </w:style>
  <w:style w:type="character" w:styleId="880">
    <w:name w:val="Subtle Emphasis"/>
    <w:basedOn w:val="7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Emphasis"/>
    <w:basedOn w:val="738"/>
    <w:uiPriority w:val="20"/>
    <w:qFormat/>
    <w:pPr>
      <w:pBdr/>
      <w:spacing/>
      <w:ind/>
    </w:pPr>
    <w:rPr>
      <w:i/>
      <w:iCs/>
    </w:rPr>
  </w:style>
  <w:style w:type="character" w:styleId="882">
    <w:name w:val="Strong"/>
    <w:basedOn w:val="738"/>
    <w:uiPriority w:val="22"/>
    <w:qFormat/>
    <w:pPr>
      <w:pBdr/>
      <w:spacing/>
      <w:ind/>
    </w:pPr>
    <w:rPr>
      <w:b/>
      <w:bCs/>
    </w:rPr>
  </w:style>
  <w:style w:type="character" w:styleId="883">
    <w:name w:val="Subtle Reference"/>
    <w:basedOn w:val="7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4">
    <w:name w:val="Book Title"/>
    <w:basedOn w:val="7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5">
    <w:name w:val="Header"/>
    <w:basedOn w:val="728"/>
    <w:link w:val="88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6" w:customStyle="1">
    <w:name w:val="Intestazione Carattere"/>
    <w:basedOn w:val="738"/>
    <w:link w:val="885"/>
    <w:uiPriority w:val="99"/>
    <w:pPr>
      <w:pBdr/>
      <w:spacing/>
      <w:ind/>
    </w:pPr>
  </w:style>
  <w:style w:type="paragraph" w:styleId="887">
    <w:name w:val="Footer"/>
    <w:basedOn w:val="728"/>
    <w:link w:val="88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8" w:customStyle="1">
    <w:name w:val="Piè di pagina Carattere"/>
    <w:basedOn w:val="738"/>
    <w:link w:val="887"/>
    <w:uiPriority w:val="99"/>
    <w:pPr>
      <w:pBdr/>
      <w:spacing/>
      <w:ind/>
    </w:pPr>
  </w:style>
  <w:style w:type="paragraph" w:styleId="889">
    <w:name w:val="Caption"/>
    <w:basedOn w:val="728"/>
    <w:next w:val="728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character" w:styleId="890" w:customStyle="1">
    <w:name w:val="Footnote Text Char"/>
    <w:basedOn w:val="738"/>
    <w:uiPriority w:val="99"/>
    <w:semiHidden/>
    <w:pPr>
      <w:pBdr/>
      <w:spacing/>
      <w:ind/>
    </w:pPr>
    <w:rPr>
      <w:sz w:val="20"/>
      <w:szCs w:val="20"/>
    </w:rPr>
  </w:style>
  <w:style w:type="paragraph" w:styleId="891">
    <w:name w:val="endnote text"/>
    <w:basedOn w:val="728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 w:customStyle="1">
    <w:name w:val="Testo nota di chiusura Carattere"/>
    <w:basedOn w:val="738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endnote reference"/>
    <w:basedOn w:val="738"/>
    <w:uiPriority w:val="99"/>
    <w:semiHidden/>
    <w:unhideWhenUsed/>
    <w:pPr>
      <w:pBdr/>
      <w:spacing/>
      <w:ind/>
    </w:pPr>
    <w:rPr>
      <w:vertAlign w:val="superscript"/>
    </w:rPr>
  </w:style>
  <w:style w:type="character" w:styleId="894">
    <w:name w:val="Hyperlink"/>
    <w:basedOn w:val="7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5">
    <w:name w:val="FollowedHyperlink"/>
    <w:basedOn w:val="7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6">
    <w:name w:val="toc 1"/>
    <w:basedOn w:val="728"/>
    <w:next w:val="728"/>
    <w:uiPriority w:val="39"/>
    <w:unhideWhenUsed/>
    <w:pPr>
      <w:pBdr/>
      <w:spacing w:after="100"/>
      <w:ind/>
    </w:pPr>
  </w:style>
  <w:style w:type="paragraph" w:styleId="897">
    <w:name w:val="toc 2"/>
    <w:basedOn w:val="728"/>
    <w:next w:val="728"/>
    <w:uiPriority w:val="39"/>
    <w:unhideWhenUsed/>
    <w:pPr>
      <w:pBdr/>
      <w:spacing w:after="100"/>
      <w:ind w:left="220"/>
    </w:pPr>
  </w:style>
  <w:style w:type="paragraph" w:styleId="898">
    <w:name w:val="toc 3"/>
    <w:basedOn w:val="728"/>
    <w:next w:val="728"/>
    <w:uiPriority w:val="39"/>
    <w:unhideWhenUsed/>
    <w:pPr>
      <w:pBdr/>
      <w:spacing w:after="100"/>
      <w:ind w:left="440"/>
    </w:pPr>
  </w:style>
  <w:style w:type="paragraph" w:styleId="899">
    <w:name w:val="toc 4"/>
    <w:basedOn w:val="728"/>
    <w:next w:val="728"/>
    <w:uiPriority w:val="39"/>
    <w:unhideWhenUsed/>
    <w:pPr>
      <w:pBdr/>
      <w:spacing w:after="100"/>
      <w:ind w:left="660"/>
    </w:pPr>
  </w:style>
  <w:style w:type="paragraph" w:styleId="900">
    <w:name w:val="toc 5"/>
    <w:basedOn w:val="728"/>
    <w:next w:val="728"/>
    <w:uiPriority w:val="39"/>
    <w:unhideWhenUsed/>
    <w:pPr>
      <w:pBdr/>
      <w:spacing w:after="100"/>
      <w:ind w:left="880"/>
    </w:pPr>
  </w:style>
  <w:style w:type="paragraph" w:styleId="901">
    <w:name w:val="toc 6"/>
    <w:basedOn w:val="728"/>
    <w:next w:val="728"/>
    <w:uiPriority w:val="39"/>
    <w:unhideWhenUsed/>
    <w:pPr>
      <w:pBdr/>
      <w:spacing w:after="100"/>
      <w:ind w:left="1100"/>
    </w:pPr>
  </w:style>
  <w:style w:type="paragraph" w:styleId="902">
    <w:name w:val="toc 7"/>
    <w:basedOn w:val="728"/>
    <w:next w:val="728"/>
    <w:uiPriority w:val="39"/>
    <w:unhideWhenUsed/>
    <w:pPr>
      <w:pBdr/>
      <w:spacing w:after="100"/>
      <w:ind w:left="1320"/>
    </w:pPr>
  </w:style>
  <w:style w:type="paragraph" w:styleId="903">
    <w:name w:val="toc 8"/>
    <w:basedOn w:val="728"/>
    <w:next w:val="728"/>
    <w:uiPriority w:val="39"/>
    <w:unhideWhenUsed/>
    <w:pPr>
      <w:pBdr/>
      <w:spacing w:after="100"/>
      <w:ind w:left="1540"/>
    </w:pPr>
  </w:style>
  <w:style w:type="paragraph" w:styleId="904">
    <w:name w:val="toc 9"/>
    <w:basedOn w:val="728"/>
    <w:next w:val="728"/>
    <w:uiPriority w:val="39"/>
    <w:unhideWhenUsed/>
    <w:pPr>
      <w:pBdr/>
      <w:spacing w:after="100"/>
      <w:ind w:left="1760"/>
    </w:pPr>
  </w:style>
  <w:style w:type="paragraph" w:styleId="905">
    <w:name w:val="TOC Heading"/>
    <w:uiPriority w:val="39"/>
    <w:unhideWhenUsed/>
    <w:pPr>
      <w:pBdr/>
      <w:spacing/>
      <w:ind/>
    </w:pPr>
  </w:style>
  <w:style w:type="paragraph" w:styleId="906">
    <w:name w:val="table of figures"/>
    <w:basedOn w:val="728"/>
    <w:next w:val="728"/>
    <w:uiPriority w:val="99"/>
    <w:unhideWhenUsed/>
    <w:pPr>
      <w:pBdr/>
      <w:spacing w:after="0"/>
      <w:ind/>
    </w:pPr>
  </w:style>
  <w:style w:type="character" w:styleId="907" w:customStyle="1">
    <w:name w:val="Titolo 1 Carattere"/>
    <w:basedOn w:val="738"/>
    <w:link w:val="729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908" w:customStyle="1">
    <w:name w:val="Titolo 2 Carattere"/>
    <w:basedOn w:val="738"/>
    <w:link w:val="7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09" w:customStyle="1">
    <w:name w:val="Titolo 3 Carattere"/>
    <w:basedOn w:val="738"/>
    <w:link w:val="731"/>
    <w:uiPriority w:val="99"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910" w:customStyle="1">
    <w:name w:val="Titolo 4 Carattere"/>
    <w:basedOn w:val="738"/>
    <w:link w:val="732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911" w:customStyle="1">
    <w:name w:val="Titolo 5 Carattere"/>
    <w:basedOn w:val="738"/>
    <w:link w:val="733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912" w:customStyle="1">
    <w:name w:val="Titolo 6 Carattere"/>
    <w:basedOn w:val="738"/>
    <w:link w:val="7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13" w:customStyle="1">
    <w:name w:val="Titolo 7 Carattere"/>
    <w:basedOn w:val="738"/>
    <w:link w:val="7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14" w:customStyle="1">
    <w:name w:val="Titolo 8 Carattere"/>
    <w:basedOn w:val="738"/>
    <w:link w:val="736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15" w:customStyle="1">
    <w:name w:val="Titolo 9 Carattere"/>
    <w:basedOn w:val="738"/>
    <w:link w:val="737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16">
    <w:name w:val="Title"/>
    <w:basedOn w:val="728"/>
    <w:next w:val="728"/>
    <w:link w:val="917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17" w:customStyle="1">
    <w:name w:val="Titolo Carattere"/>
    <w:basedOn w:val="738"/>
    <w:link w:val="91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18">
    <w:name w:val="Subtitle"/>
    <w:basedOn w:val="728"/>
    <w:next w:val="728"/>
    <w:link w:val="919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19" w:customStyle="1">
    <w:name w:val="Sottotitolo Carattere"/>
    <w:basedOn w:val="738"/>
    <w:link w:val="91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20">
    <w:name w:val="Quote"/>
    <w:basedOn w:val="728"/>
    <w:next w:val="728"/>
    <w:link w:val="92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1" w:customStyle="1">
    <w:name w:val="Citazione Carattere"/>
    <w:basedOn w:val="738"/>
    <w:link w:val="92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2">
    <w:name w:val="List Paragraph"/>
    <w:basedOn w:val="728"/>
    <w:uiPriority w:val="34"/>
    <w:qFormat/>
    <w:pPr>
      <w:pBdr/>
      <w:spacing/>
      <w:ind w:left="720"/>
      <w:contextualSpacing w:val="true"/>
    </w:pPr>
  </w:style>
  <w:style w:type="character" w:styleId="923">
    <w:name w:val="Intense Emphasis"/>
    <w:basedOn w:val="738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924">
    <w:name w:val="Intense Quote"/>
    <w:basedOn w:val="728"/>
    <w:next w:val="728"/>
    <w:link w:val="925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925" w:customStyle="1">
    <w:name w:val="Citazione intensa Carattere"/>
    <w:basedOn w:val="738"/>
    <w:link w:val="924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926">
    <w:name w:val="Intense Reference"/>
    <w:basedOn w:val="738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table" w:styleId="927">
    <w:name w:val="Table Grid"/>
    <w:basedOn w:val="739"/>
    <w:qFormat/>
    <w:pPr>
      <w:pBdr/>
      <w:spacing w:after="0" w:line="240" w:lineRule="auto"/>
      <w:ind/>
    </w:pPr>
    <w:rPr>
      <w:rFonts w:ascii="Calibri" w:hAnsi="Calibri" w:eastAsia="Calibri" w:cs="Times New Roman"/>
      <w:sz w:val="20"/>
      <w:szCs w:val="20"/>
      <w:lang w:eastAsia="it-IT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sz w:val="22"/>
      <w:szCs w:val="22"/>
      <w:lang w:val="en-US" w:eastAsia="it-IT"/>
      <w14:ligatures w14:val="none"/>
    </w:rPr>
    <w:tblPr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9" w:customStyle="1">
    <w:name w:val="Table Paragraph"/>
    <w:basedOn w:val="728"/>
    <w:uiPriority w:val="1"/>
    <w:qFormat/>
    <w:pPr>
      <w:widowControl w:val="false"/>
      <w:pBdr/>
      <w:spacing w:after="0" w:line="240" w:lineRule="auto"/>
      <w:ind/>
    </w:pPr>
    <w:rPr>
      <w:rFonts w:cs="Calibri"/>
    </w:rPr>
  </w:style>
  <w:style w:type="paragraph" w:styleId="930">
    <w:name w:val="footnote text"/>
    <w:basedOn w:val="728"/>
    <w:link w:val="93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1" w:customStyle="1">
    <w:name w:val="Testo nota a piè di pagina Carattere"/>
    <w:basedOn w:val="738"/>
    <w:link w:val="930"/>
    <w:uiPriority w:val="99"/>
    <w:semiHidden/>
    <w:pPr>
      <w:pBdr/>
      <w:spacing/>
      <w:ind/>
    </w:pPr>
    <w:rPr>
      <w:rFonts w:ascii="Calibri" w:hAnsi="Calibri" w:eastAsia="Calibri" w:cs="Times New Roman"/>
      <w:sz w:val="20"/>
      <w:szCs w:val="20"/>
      <w14:ligatures w14:val="none"/>
    </w:rPr>
  </w:style>
  <w:style w:type="character" w:styleId="932">
    <w:name w:val="footnote reference"/>
    <w:basedOn w:val="738"/>
    <w:uiPriority w:val="99"/>
    <w:semiHidden/>
    <w:unhideWhenUsed/>
    <w:pPr>
      <w:pBdr/>
      <w:spacing/>
      <w:ind/>
    </w:pPr>
    <w:rPr>
      <w:vertAlign w:val="superscript"/>
    </w:rPr>
  </w:style>
  <w:style w:type="paragraph" w:styleId="933" w:customStyle="1">
    <w:name w:val="Sommario 3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left" w:leader="none" w:pos="1320"/>
        <w:tab w:val="right" w:leader="dot" w:pos="9638"/>
      </w:tabs>
      <w:spacing w:after="0" w:line="259" w:lineRule="auto"/>
      <w:ind w:left="440"/>
      <w:jc w:val="both"/>
    </w:pPr>
    <w:rPr>
      <w:rFonts w:ascii="Calibri" w:hAnsi="Calibri" w:eastAsia="Calibri" w:cs="Times New Roman"/>
      <w:sz w:val="22"/>
      <w:szCs w:val="22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545C1-00FD-4C5B-854F-19EA6BCD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Giulia ( Consulenti )</dc:creator>
  <cp:keywords/>
  <dc:description/>
  <cp:revision>5</cp:revision>
  <dcterms:created xsi:type="dcterms:W3CDTF">2026-07-31T12:10:00Z</dcterms:created>
  <dcterms:modified xsi:type="dcterms:W3CDTF">2026-08-25T11:05:48Z</dcterms:modified>
</cp:coreProperties>
</file>