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7F46">
      <w:pPr>
        <w:pStyle w:val="LO-Normal"/>
        <w:spacing w:after="2" w:line="235" w:lineRule="auto"/>
        <w:ind w:left="0" w:right="0" w:firstLine="0"/>
        <w:jc w:val="center"/>
        <w:rPr>
          <w:rStyle w:val="DefaultParagraphFont"/>
          <w:b/>
          <w:bCs/>
          <w:sz w:val="28"/>
          <w:szCs w:val="28"/>
        </w:rPr>
      </w:pPr>
      <w:r>
        <w:rPr>
          <w:rStyle w:val="DefaultParagraphFont"/>
          <w:b/>
          <w:bCs/>
        </w:rPr>
        <w:t>DISEGNO DI LEGGE</w:t>
      </w:r>
    </w:p>
    <w:p w:rsidR="00000000" w:rsidRDefault="00177F46">
      <w:pPr>
        <w:pStyle w:val="LO-Normal"/>
        <w:spacing w:after="2" w:line="235" w:lineRule="auto"/>
        <w:ind w:left="0" w:right="0" w:firstLine="0"/>
        <w:jc w:val="center"/>
        <w:rPr>
          <w:rStyle w:val="DefaultParagraphFont"/>
          <w:b/>
          <w:bCs/>
          <w:sz w:val="28"/>
          <w:szCs w:val="28"/>
        </w:rPr>
      </w:pPr>
      <w:r>
        <w:rPr>
          <w:rStyle w:val="DefaultParagraphFont"/>
          <w:b/>
          <w:bCs/>
          <w:sz w:val="28"/>
          <w:szCs w:val="28"/>
        </w:rPr>
        <w:t xml:space="preserve">Disciplina in materia di funzioni, organi di governo </w:t>
      </w:r>
    </w:p>
    <w:p w:rsidR="00000000" w:rsidRDefault="00177F46">
      <w:pPr>
        <w:pStyle w:val="LO-Normal"/>
        <w:spacing w:after="2" w:line="235" w:lineRule="auto"/>
        <w:ind w:left="0" w:right="0" w:firstLine="0"/>
        <w:jc w:val="center"/>
        <w:rPr>
          <w:rStyle w:val="DefaultParagraphFont"/>
          <w:sz w:val="32"/>
        </w:rPr>
      </w:pPr>
      <w:r>
        <w:rPr>
          <w:rStyle w:val="DefaultParagraphFont"/>
          <w:b/>
          <w:bCs/>
          <w:sz w:val="28"/>
          <w:szCs w:val="28"/>
        </w:rPr>
        <w:t xml:space="preserve">e sistema elettorale delle Province e delle Città metropolitane </w:t>
      </w:r>
    </w:p>
    <w:p w:rsidR="00000000" w:rsidRDefault="00177F46">
      <w:pPr>
        <w:pStyle w:val="LO-Normal"/>
        <w:spacing w:after="0" w:line="254" w:lineRule="auto"/>
        <w:ind w:left="75" w:right="0" w:firstLine="0"/>
        <w:jc w:val="center"/>
      </w:pPr>
      <w:r>
        <w:rPr>
          <w:rStyle w:val="DefaultParagraphFont"/>
          <w:sz w:val="32"/>
        </w:rPr>
        <w:t xml:space="preserve"> </w:t>
      </w:r>
    </w:p>
    <w:p w:rsidR="00000000" w:rsidRDefault="00177F46">
      <w:pPr>
        <w:jc w:val="center"/>
      </w:pPr>
    </w:p>
    <w:p w:rsidR="00000000" w:rsidRDefault="00177F46">
      <w:pPr>
        <w:ind w:firstLine="283"/>
        <w:jc w:val="both"/>
        <w:rPr>
          <w:color w:val="202124"/>
        </w:rPr>
      </w:pPr>
      <w:r>
        <w:t>Nell’ambito di un mutato quadro di indirizzo politico generale, rappresentato da diverse iniziative legislative già i</w:t>
      </w:r>
      <w:r>
        <w:t xml:space="preserve">n corso di congiunto esame da parte del Parlamento nazionale (Atti Senato S203 - S367 - S57 - S417) tendenti a reintrodurre l’elezione a suffragio universale diretto degli organi di Province e Città metropolitane, superando l’attuale assetto istituzionale </w:t>
      </w:r>
      <w:r>
        <w:t xml:space="preserve">degli enti di area vasta determinato dalla </w:t>
      </w:r>
      <w:r>
        <w:rPr>
          <w:color w:val="202124"/>
        </w:rPr>
        <w:t>legge 7 aprile 2014, n. 56, il disegno di legge del governo regionale, introduce in puntuale attuazione delle priorità programmatiche esposte all’Assemblea regionale una nuova disciplina concernente la composizion</w:t>
      </w:r>
      <w:r>
        <w:rPr>
          <w:color w:val="202124"/>
        </w:rPr>
        <w:t>e e l’elezione a suffragio universale diretto degli organi dei liberi consorzi di Comuni (denominati Province) e delle Città metropolitane attualmente previste dall’articolo 1 della legge regionale 4 agosto 2015, n.15.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1</w:t>
      </w:r>
      <w:r>
        <w:rPr>
          <w:color w:val="202124"/>
        </w:rPr>
        <w:t xml:space="preserve"> detta i pertinenti rich</w:t>
      </w:r>
      <w:r>
        <w:rPr>
          <w:color w:val="202124"/>
        </w:rPr>
        <w:t>iami costituzionali e statutari, nonché quelli relativi ai principi della Carta europea delle autonomie locali, individuando espressamente gli enti destinatari della legge nei liberi consorzi di Comuni (che assumono la denominazione di Province) e nelle Ci</w:t>
      </w:r>
      <w:r>
        <w:rPr>
          <w:color w:val="202124"/>
        </w:rPr>
        <w:t>ttà metropolitane, enti di area vasta istituiti dall’articolo 1 della legge regionale 4 agosto 2015, n.15, terminando con una disposizione di chiusura di rinvio dinamico alla normativa ordinamentale applicabile.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2</w:t>
      </w:r>
      <w:r>
        <w:rPr>
          <w:color w:val="202124"/>
        </w:rPr>
        <w:t xml:space="preserve"> individua gli organi di govern</w:t>
      </w:r>
      <w:r>
        <w:rPr>
          <w:color w:val="202124"/>
        </w:rPr>
        <w:t>o delle Province e delle Città metropolitane (presidente, giunta e consiglio), la loro composizione (prevedendo l’obbligo di rappresentanza in giunta di entrambi i generi) e le rispettive competenze richiamando la vigente disciplina regionale in materia di</w:t>
      </w:r>
      <w:r>
        <w:rPr>
          <w:color w:val="202124"/>
        </w:rPr>
        <w:t xml:space="preserve"> ineleggibilità ed incompatibilità, di cessazione dalle cariche ed introducendo l’istituto del consigliere supplente per il periodo di sospensione dalla carica di un consigliere chiamato a svolgere l’incarico di assessore.</w:t>
      </w: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Di seguito la tabella riepilogati</w:t>
      </w:r>
      <w:r>
        <w:rPr>
          <w:color w:val="202124"/>
        </w:rPr>
        <w:t>va di composizione degli organi collegiali della Provincia.</w:t>
      </w:r>
    </w:p>
    <w:p w:rsidR="00000000" w:rsidRDefault="00177F46">
      <w:pPr>
        <w:ind w:firstLine="283"/>
        <w:jc w:val="both"/>
        <w:rPr>
          <w:color w:val="2021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000000">
        <w:tc>
          <w:tcPr>
            <w:tcW w:w="9638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sz w:val="18"/>
                <w:szCs w:val="18"/>
              </w:rPr>
              <w:t>Province (liberi consorzi comunali)</w:t>
            </w:r>
          </w:p>
        </w:tc>
      </w:tr>
      <w:tr w:rsidR="00000000">
        <w:tc>
          <w:tcPr>
            <w:tcW w:w="4818" w:type="dxa"/>
            <w:tcBorders>
              <w:left w:val="single" w:sz="4" w:space="0" w:color="008080"/>
              <w:bottom w:val="single" w:sz="4" w:space="0" w:color="008080"/>
            </w:tcBorders>
            <w:shd w:val="clear" w:color="auto" w:fill="auto"/>
          </w:tcPr>
          <w:p w:rsidR="00000000" w:rsidRDefault="00177F46">
            <w:pPr>
              <w:pStyle w:val="Contenutotabella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sz w:val="18"/>
                <w:szCs w:val="18"/>
              </w:rPr>
              <w:t>36 consiglieri con popolazione pari o superiore a 1.000.000 di abitanti</w:t>
            </w:r>
          </w:p>
        </w:tc>
        <w:tc>
          <w:tcPr>
            <w:tcW w:w="48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rFonts w:ascii="Liberation Serif" w:hAnsi="Liberation Serif"/>
                <w:sz w:val="18"/>
                <w:szCs w:val="18"/>
              </w:rPr>
              <w:t>fino a un massimo di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 assessori (</w:t>
            </w:r>
            <w:r>
              <w:rPr>
                <w:rFonts w:ascii="Liberation Serif" w:hAnsi="Liberation Serif"/>
                <w:sz w:val="18"/>
                <w:szCs w:val="18"/>
              </w:rPr>
              <w:t>2</w:t>
            </w:r>
            <w:r>
              <w:rPr>
                <w:rFonts w:ascii="Liberation Serif" w:hAnsi="Liberation Serif"/>
                <w:sz w:val="18"/>
                <w:szCs w:val="18"/>
              </w:rPr>
              <w:t>5</w:t>
            </w:r>
            <w:r>
              <w:rPr>
                <w:rFonts w:ascii="Liberation Serif" w:hAnsi="Liberation Serif"/>
                <w:sz w:val="18"/>
                <w:szCs w:val="18"/>
              </w:rPr>
              <w:t>% dei consiglieri</w:t>
            </w:r>
            <w:r>
              <w:rPr>
                <w:rFonts w:ascii="Liberation Serif" w:hAnsi="Liberation Serif"/>
                <w:sz w:val="18"/>
                <w:szCs w:val="18"/>
              </w:rPr>
              <w:t>)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</w:p>
        </w:tc>
      </w:tr>
      <w:tr w:rsidR="00000000">
        <w:tc>
          <w:tcPr>
            <w:tcW w:w="4818" w:type="dxa"/>
            <w:tcBorders>
              <w:left w:val="single" w:sz="4" w:space="0" w:color="008080"/>
              <w:bottom w:val="single" w:sz="4" w:space="0" w:color="008080"/>
            </w:tcBorders>
            <w:shd w:val="clear" w:color="auto" w:fill="auto"/>
          </w:tcPr>
          <w:p w:rsidR="00000000" w:rsidRDefault="00177F46">
            <w:pPr>
              <w:pStyle w:val="Contenutotabella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sz w:val="18"/>
                <w:szCs w:val="18"/>
              </w:rPr>
              <w:t>30 consiglieri con popolazion</w:t>
            </w:r>
            <w:r>
              <w:rPr>
                <w:sz w:val="18"/>
                <w:szCs w:val="18"/>
              </w:rPr>
              <w:t>e pari o superiore a 500.000 di abitanti</w:t>
            </w:r>
          </w:p>
        </w:tc>
        <w:tc>
          <w:tcPr>
            <w:tcW w:w="48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rFonts w:ascii="Liberation Serif" w:hAnsi="Liberation Serif"/>
                <w:sz w:val="18"/>
                <w:szCs w:val="18"/>
              </w:rPr>
              <w:t xml:space="preserve">fino a un massimo </w:t>
            </w:r>
            <w:r>
              <w:rPr>
                <w:sz w:val="18"/>
                <w:szCs w:val="18"/>
              </w:rPr>
              <w:t>7 assessori (</w:t>
            </w:r>
            <w:r>
              <w:rPr>
                <w:rFonts w:ascii="Liberation Serif" w:hAnsi="Liberation Serif"/>
                <w:sz w:val="18"/>
                <w:szCs w:val="18"/>
              </w:rPr>
              <w:t>2</w:t>
            </w:r>
            <w:r>
              <w:rPr>
                <w:rFonts w:ascii="Liberation Serif" w:hAnsi="Liberation Serif"/>
                <w:sz w:val="18"/>
                <w:szCs w:val="18"/>
              </w:rPr>
              <w:t>5</w:t>
            </w:r>
            <w:r>
              <w:rPr>
                <w:rFonts w:ascii="Liberation Serif" w:hAnsi="Liberation Serif"/>
                <w:sz w:val="18"/>
                <w:szCs w:val="18"/>
              </w:rPr>
              <w:t>% dei consiglieri</w:t>
            </w:r>
            <w:r>
              <w:rPr>
                <w:rFonts w:ascii="Liberation Serif" w:hAnsi="Liberation Serif"/>
                <w:sz w:val="18"/>
                <w:szCs w:val="18"/>
              </w:rPr>
              <w:t>)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</w:p>
        </w:tc>
      </w:tr>
      <w:tr w:rsidR="00000000">
        <w:tc>
          <w:tcPr>
            <w:tcW w:w="4818" w:type="dxa"/>
            <w:tcBorders>
              <w:left w:val="single" w:sz="4" w:space="0" w:color="008080"/>
              <w:bottom w:val="single" w:sz="4" w:space="0" w:color="008080"/>
            </w:tcBorders>
            <w:shd w:val="clear" w:color="auto" w:fill="auto"/>
          </w:tcPr>
          <w:p w:rsidR="00000000" w:rsidRDefault="00177F46">
            <w:pPr>
              <w:pStyle w:val="Contenutotabella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sz w:val="18"/>
                <w:szCs w:val="18"/>
              </w:rPr>
              <w:t>24 consiglieri con popolazione inferiore a 500.000 di abitanti</w:t>
            </w:r>
          </w:p>
        </w:tc>
        <w:tc>
          <w:tcPr>
            <w:tcW w:w="48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fino a un massimo </w:t>
            </w:r>
            <w:r>
              <w:rPr>
                <w:sz w:val="18"/>
                <w:szCs w:val="18"/>
              </w:rPr>
              <w:t>6 assessori (</w:t>
            </w:r>
            <w:r>
              <w:rPr>
                <w:rFonts w:ascii="Liberation Serif" w:hAnsi="Liberation Serif"/>
                <w:sz w:val="18"/>
                <w:szCs w:val="18"/>
              </w:rPr>
              <w:t>2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5 </w:t>
            </w:r>
            <w:r>
              <w:rPr>
                <w:rFonts w:ascii="Liberation Serif" w:hAnsi="Liberation Serif"/>
                <w:sz w:val="18"/>
                <w:szCs w:val="18"/>
              </w:rPr>
              <w:t>% dei consiglieri</w:t>
            </w:r>
            <w:r>
              <w:rPr>
                <w:rFonts w:ascii="Liberation Serif" w:hAnsi="Liberation Serif"/>
                <w:sz w:val="18"/>
                <w:szCs w:val="18"/>
              </w:rPr>
              <w:t>)</w:t>
            </w:r>
          </w:p>
        </w:tc>
      </w:tr>
    </w:tbl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3</w:t>
      </w:r>
      <w:r>
        <w:rPr>
          <w:color w:val="202124"/>
        </w:rPr>
        <w:t xml:space="preserve"> reca i medesimi contenuti de</w:t>
      </w:r>
      <w:r>
        <w:rPr>
          <w:color w:val="202124"/>
        </w:rPr>
        <w:t>ll’articolo 2 riferiti alle Città metropolitane.</w:t>
      </w: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Di seguito la tabella riepilogativa di composizione degli organi collegiali della Provincia.</w:t>
      </w:r>
    </w:p>
    <w:p w:rsidR="00000000" w:rsidRDefault="00177F46">
      <w:pPr>
        <w:ind w:firstLine="283"/>
        <w:jc w:val="both"/>
        <w:rPr>
          <w:color w:val="2021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000000">
        <w:tc>
          <w:tcPr>
            <w:tcW w:w="9638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sz w:val="18"/>
                <w:szCs w:val="18"/>
              </w:rPr>
              <w:t>Citta metropolitane</w:t>
            </w:r>
          </w:p>
        </w:tc>
      </w:tr>
      <w:tr w:rsidR="00000000">
        <w:tc>
          <w:tcPr>
            <w:tcW w:w="4818" w:type="dxa"/>
            <w:tcBorders>
              <w:left w:val="single" w:sz="4" w:space="0" w:color="008080"/>
              <w:bottom w:val="single" w:sz="4" w:space="0" w:color="008080"/>
            </w:tcBorders>
            <w:shd w:val="clear" w:color="auto" w:fill="auto"/>
          </w:tcPr>
          <w:p w:rsidR="00000000" w:rsidRDefault="00177F46">
            <w:pPr>
              <w:pStyle w:val="Contenutotabella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sz w:val="18"/>
                <w:szCs w:val="18"/>
              </w:rPr>
              <w:t>36 consiglieri con popolazione pari o superiore a 1.000.000 di abitanti</w:t>
            </w:r>
          </w:p>
        </w:tc>
        <w:tc>
          <w:tcPr>
            <w:tcW w:w="48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rFonts w:ascii="Liberation Serif" w:hAnsi="Liberation Serif"/>
                <w:sz w:val="18"/>
                <w:szCs w:val="18"/>
              </w:rPr>
              <w:t xml:space="preserve">fino a un massimo 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9 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assessori </w:t>
            </w:r>
            <w:r>
              <w:rPr>
                <w:rFonts w:ascii="Liberation Serif" w:hAnsi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/>
                <w:sz w:val="18"/>
                <w:szCs w:val="18"/>
              </w:rPr>
              <w:t>2</w:t>
            </w:r>
            <w:r>
              <w:rPr>
                <w:rFonts w:ascii="Liberation Serif" w:hAnsi="Liberation Serif"/>
                <w:sz w:val="18"/>
                <w:szCs w:val="18"/>
              </w:rPr>
              <w:t>5</w:t>
            </w:r>
            <w:r>
              <w:rPr>
                <w:rFonts w:ascii="Liberation Serif" w:hAnsi="Liberation Serif"/>
                <w:sz w:val="18"/>
                <w:szCs w:val="18"/>
              </w:rPr>
              <w:t>% dei consiglieri</w:t>
            </w:r>
            <w:r>
              <w:rPr>
                <w:rFonts w:ascii="Liberation Serif" w:hAnsi="Liberation Serif"/>
                <w:sz w:val="18"/>
                <w:szCs w:val="18"/>
              </w:rPr>
              <w:t>)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</w:p>
        </w:tc>
      </w:tr>
      <w:tr w:rsidR="00000000">
        <w:tc>
          <w:tcPr>
            <w:tcW w:w="4818" w:type="dxa"/>
            <w:tcBorders>
              <w:left w:val="single" w:sz="4" w:space="0" w:color="008080"/>
              <w:bottom w:val="single" w:sz="4" w:space="0" w:color="008080"/>
            </w:tcBorders>
            <w:shd w:val="clear" w:color="auto" w:fill="auto"/>
          </w:tcPr>
          <w:p w:rsidR="00000000" w:rsidRDefault="00177F46">
            <w:pPr>
              <w:pStyle w:val="Contenutotabella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sz w:val="18"/>
                <w:szCs w:val="18"/>
              </w:rPr>
              <w:t>30 consiglieri con popolazione inferiore a 1.000.000 di abitanti</w:t>
            </w:r>
          </w:p>
        </w:tc>
        <w:tc>
          <w:tcPr>
            <w:tcW w:w="48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:rsidR="00000000" w:rsidRDefault="00177F46">
            <w:pPr>
              <w:pStyle w:val="Contenutotabella"/>
              <w:jc w:val="center"/>
            </w:pPr>
            <w:r>
              <w:rPr>
                <w:rFonts w:ascii="Liberation Serif" w:hAnsi="Liberation Serif"/>
                <w:sz w:val="18"/>
                <w:szCs w:val="18"/>
              </w:rPr>
              <w:t xml:space="preserve">fino a un massimo 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7 assessori </w:t>
            </w:r>
            <w:r>
              <w:rPr>
                <w:rFonts w:ascii="Liberation Serif" w:hAnsi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/>
                <w:sz w:val="18"/>
                <w:szCs w:val="18"/>
              </w:rPr>
              <w:t>2</w:t>
            </w:r>
            <w:r>
              <w:rPr>
                <w:rFonts w:ascii="Liberation Serif" w:hAnsi="Liberation Serif"/>
                <w:sz w:val="18"/>
                <w:szCs w:val="18"/>
              </w:rPr>
              <w:t>5</w:t>
            </w:r>
            <w:r>
              <w:rPr>
                <w:rFonts w:ascii="Liberation Serif" w:hAnsi="Liberation Serif"/>
                <w:sz w:val="18"/>
                <w:szCs w:val="18"/>
              </w:rPr>
              <w:t>% dei consiglieri</w:t>
            </w:r>
            <w:r>
              <w:rPr>
                <w:rFonts w:ascii="Liberation Serif" w:hAnsi="Liberation Serif"/>
                <w:sz w:val="18"/>
                <w:szCs w:val="18"/>
              </w:rPr>
              <w:t>)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</w:p>
        </w:tc>
      </w:tr>
    </w:tbl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4</w:t>
      </w:r>
      <w:r>
        <w:rPr>
          <w:color w:val="202124"/>
        </w:rPr>
        <w:t xml:space="preserve"> individua le funzioni delle Province confermando, in atto, quelle attualmente previste d</w:t>
      </w:r>
      <w:r>
        <w:rPr>
          <w:color w:val="202124"/>
        </w:rPr>
        <w:t>alla vigente normativa regionale ed, in particolare, dall’articolo 27 della legge regionale 4 agosto 2015, n.15.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5</w:t>
      </w:r>
      <w:r>
        <w:rPr>
          <w:color w:val="202124"/>
        </w:rPr>
        <w:t xml:space="preserve"> individua le funzioni delle Città metropolitane confermando, in atto, quelle </w:t>
      </w:r>
      <w:r>
        <w:rPr>
          <w:color w:val="202124"/>
        </w:rPr>
        <w:lastRenderedPageBreak/>
        <w:t>attualmente previste dalla vigente normativa regiona</w:t>
      </w:r>
      <w:r>
        <w:rPr>
          <w:color w:val="202124"/>
        </w:rPr>
        <w:t>le ed, in particolare, dagli articoli 27 e 28 della legge regionale 4 agosto 2015, n.15.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6</w:t>
      </w:r>
      <w:r>
        <w:rPr>
          <w:color w:val="202124"/>
        </w:rPr>
        <w:t xml:space="preserve"> detta le modalità per l’elezione diretta del presidente della Provincia a suffragio universale e diretto su collegio unico contestualmente al consiglio p</w:t>
      </w:r>
      <w:r>
        <w:rPr>
          <w:color w:val="202124"/>
        </w:rPr>
        <w:t>rovinciale (unica scheda) prevedendo il 40% dei voti validi quale soglia per l’elezione al primo turno e, in mancanza, il turno di ballottaggio e la possibilità del voto disgiunto.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7</w:t>
      </w:r>
      <w:r>
        <w:rPr>
          <w:color w:val="202124"/>
        </w:rPr>
        <w:t xml:space="preserve"> prevede le modalità per l’elezione del consiglio provinciale </w:t>
      </w:r>
      <w:r>
        <w:rPr>
          <w:color w:val="202124"/>
        </w:rPr>
        <w:t>a suffragio universale diretto con metodo D’Hondt su due o più collegi interni all’unica circoscrizione provinciale, determinati secondo i meccanismi della preesistente normativa regionale, prevedendo la doppia preferenza di genere e l'elezione a consiglie</w:t>
      </w:r>
      <w:r>
        <w:rPr>
          <w:color w:val="202124"/>
        </w:rPr>
        <w:t>re provinciale del candidato presidente della Provincia miglior perdente purché abbia ottenuto almeno il 20%. dei voti validi.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8</w:t>
      </w:r>
      <w:r>
        <w:rPr>
          <w:color w:val="202124"/>
        </w:rPr>
        <w:t xml:space="preserve"> regola l’elezione del sindaco metropolitano secondo il medesimo sistema previsto all’articolo 6 per il presidente d</w:t>
      </w:r>
      <w:r>
        <w:rPr>
          <w:color w:val="202124"/>
        </w:rPr>
        <w:t>ella Provincia.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9</w:t>
      </w:r>
      <w:r>
        <w:rPr>
          <w:color w:val="202124"/>
        </w:rPr>
        <w:t xml:space="preserve"> regola l’elezione del consiglio metropolitano secondo il medesimo sistema previsto all’articolo 6 per il presidente della Provincia.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10</w:t>
      </w:r>
      <w:r>
        <w:rPr>
          <w:color w:val="202124"/>
        </w:rPr>
        <w:t xml:space="preserve"> riporta il rinvio alle disposizioni relative al procedimento con le necessarie</w:t>
      </w:r>
      <w:r>
        <w:rPr>
          <w:color w:val="202124"/>
        </w:rPr>
        <w:t xml:space="preserve"> attualizzazioni testuali.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000000" w:rsidRDefault="00177F46">
      <w:pPr>
        <w:ind w:firstLine="283"/>
        <w:jc w:val="both"/>
        <w:rPr>
          <w:color w:val="202124"/>
        </w:rPr>
      </w:pPr>
      <w:r>
        <w:rPr>
          <w:color w:val="202124"/>
        </w:rPr>
        <w:t>L’</w:t>
      </w:r>
      <w:r>
        <w:rPr>
          <w:b/>
          <w:bCs/>
          <w:color w:val="202124"/>
        </w:rPr>
        <w:t>articolo 11</w:t>
      </w:r>
      <w:r>
        <w:rPr>
          <w:color w:val="202124"/>
        </w:rPr>
        <w:t xml:space="preserve"> contiene l’insieme delle abrogazioni espresse delle diverse disposizioni della legge regionale 4 agosto 2015, n.15 non più compatibili con i contenuti della presente iniziativa legislativa.</w:t>
      </w:r>
    </w:p>
    <w:p w:rsidR="00000000" w:rsidRDefault="00177F46">
      <w:pPr>
        <w:ind w:firstLine="283"/>
        <w:jc w:val="both"/>
        <w:rPr>
          <w:color w:val="202124"/>
        </w:rPr>
      </w:pPr>
    </w:p>
    <w:p w:rsidR="00177F46" w:rsidRDefault="00177F46">
      <w:pPr>
        <w:ind w:firstLine="283"/>
        <w:jc w:val="both"/>
      </w:pPr>
      <w:r>
        <w:rPr>
          <w:color w:val="202124"/>
        </w:rPr>
        <w:t>L’</w:t>
      </w:r>
      <w:r>
        <w:rPr>
          <w:b/>
          <w:bCs/>
          <w:color w:val="202124"/>
        </w:rPr>
        <w:t>articolo 12</w:t>
      </w:r>
      <w:r>
        <w:rPr>
          <w:color w:val="202124"/>
        </w:rPr>
        <w:t xml:space="preserve"> reca le d</w:t>
      </w:r>
      <w:r>
        <w:rPr>
          <w:color w:val="202124"/>
        </w:rPr>
        <w:t>isposizioni transitorie volte, in primo luogo, a tenere le consultazioni elettorali in un turno compreso tra il 15 ottobre e il 30 novembre e a non determinare soluzioni di continuità nella gestione delle Province e delle Città metropolitane, prevedendo la</w:t>
      </w:r>
      <w:r>
        <w:rPr>
          <w:color w:val="202124"/>
        </w:rPr>
        <w:t xml:space="preserve"> copertura finanziaria degli oneri derivanti dall’applicazione della legge che, in mancanza del conferimento di nuove funzioni agli enti di area vasta, rispetto a quelle previste dalla vigente normativa regionale ed espressamente richiamate dalla presente </w:t>
      </w:r>
      <w:r>
        <w:rPr>
          <w:color w:val="202124"/>
        </w:rPr>
        <w:t>iniziativa legislativa vengono stimati unicamente in 10 milioni di euro, quali risorse necessarie a sostenere le consultazioni elettorali.</w:t>
      </w:r>
    </w:p>
    <w:sectPr w:rsidR="00177F4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6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34BC6"/>
    <w:rsid w:val="00177F46"/>
    <w:rsid w:val="00D3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LO-Normal">
    <w:name w:val="LO-Normal"/>
    <w:pPr>
      <w:suppressAutoHyphens/>
      <w:spacing w:after="108" w:line="244" w:lineRule="auto"/>
      <w:ind w:left="10" w:right="3" w:hanging="10"/>
      <w:jc w:val="both"/>
    </w:pPr>
    <w:rPr>
      <w:color w:val="000000"/>
      <w:kern w:val="1"/>
      <w:sz w:val="24"/>
      <w:szCs w:val="24"/>
      <w:lang w:eastAsia="hi-IN" w:bidi="hi-IN"/>
    </w:rPr>
  </w:style>
  <w:style w:type="paragraph" w:customStyle="1" w:styleId="Contenutotabella">
    <w:name w:val="Contenuto tabella"/>
    <w:basedOn w:val="Normal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Dominici</dc:creator>
  <cp:lastModifiedBy>Danilo Dominici</cp:lastModifiedBy>
  <cp:revision>2</cp:revision>
  <cp:lastPrinted>1601-01-01T00:00:00Z</cp:lastPrinted>
  <dcterms:created xsi:type="dcterms:W3CDTF">2023-03-03T16:05:00Z</dcterms:created>
  <dcterms:modified xsi:type="dcterms:W3CDTF">2023-03-03T16:05:00Z</dcterms:modified>
</cp:coreProperties>
</file>