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wmf" ContentType="image/x-wmf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ottotitolo"/>
        <w:spacing w:before="120" w:after="0"/>
        <w:rPr/>
      </w:pPr>
      <w:r>
        <w:rPr>
          <w:sz w:val="18"/>
          <w:szCs w:val="18"/>
        </w:rPr>
        <w:t>REPUBBLICA ITALIANA</w:t>
      </w:r>
    </w:p>
    <w:p>
      <w:pPr>
        <w:pStyle w:val="Normal"/>
        <w:jc w:val="center"/>
        <w:rPr>
          <w:rFonts w:ascii="Arial" w:hAnsi="Arial" w:cs="Arial"/>
          <w:b/>
          <w:b/>
        </w:rPr>
      </w:pPr>
      <w:r>
        <w:rPr/>
        <w:drawing>
          <wp:inline distT="0" distB="0" distL="19050" distR="0">
            <wp:extent cx="424180" cy="526415"/>
            <wp:effectExtent l="0" t="0" r="0" b="0"/>
            <wp:docPr id="1" name="Immagin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180" cy="52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/>
      </w:pPr>
      <w:r>
        <w:rPr>
          <w:rFonts w:cs="Arial" w:ascii="Arial" w:hAnsi="Arial"/>
          <w:b/>
        </w:rPr>
        <w:t>REGIONE SICILIANA</w:t>
      </w:r>
    </w:p>
    <w:p>
      <w:pPr>
        <w:pStyle w:val="Normal"/>
        <w:spacing w:before="0" w:after="0"/>
        <w:jc w:val="center"/>
        <w:rPr/>
      </w:pPr>
      <w:r>
        <w:rPr>
          <w:rFonts w:cs="Arial" w:ascii="Arial" w:hAnsi="Arial"/>
          <w:sz w:val="20"/>
          <w:szCs w:val="20"/>
        </w:rPr>
        <w:t>Assessorato delle Autonomie Locali e della Funzione Pubblica</w:t>
        <w:br/>
        <w:t>Dipartimento delle Autonomie Locali</w:t>
      </w:r>
    </w:p>
    <w:p>
      <w:pPr>
        <w:pStyle w:val="Normal"/>
        <w:spacing w:before="0" w:after="0"/>
        <w:jc w:val="center"/>
        <w:rPr/>
      </w:pPr>
      <w:r>
        <w:rPr>
          <w:rFonts w:cs="Arial" w:ascii="Arial" w:hAnsi="Arial"/>
          <w:sz w:val="20"/>
          <w:szCs w:val="20"/>
        </w:rPr>
        <w:t xml:space="preserve">Servizio 4 </w:t>
      </w:r>
    </w:p>
    <w:p>
      <w:pPr>
        <w:pStyle w:val="Normal"/>
        <w:spacing w:before="0" w:after="0"/>
        <w:jc w:val="center"/>
        <w:rPr/>
      </w:pPr>
      <w:r>
        <w:rPr>
          <w:rFonts w:cs="Arial" w:ascii="Arial" w:hAnsi="Arial"/>
          <w:sz w:val="20"/>
          <w:szCs w:val="20"/>
        </w:rPr>
        <w:t>“</w:t>
      </w:r>
      <w:r>
        <w:rPr>
          <w:rFonts w:cs="Arial" w:ascii="Arial" w:hAnsi="Arial"/>
          <w:sz w:val="20"/>
          <w:szCs w:val="20"/>
        </w:rPr>
        <w:t>Trasferimenti regionali agli Enti locali per il finanziamento delle funzioni”</w:t>
      </w:r>
    </w:p>
    <w:p>
      <w:pPr>
        <w:pStyle w:val="Normal"/>
        <w:rPr/>
      </w:pPr>
      <w:r>
        <w:rPr/>
      </w:r>
    </w:p>
    <w:p>
      <w:pPr>
        <w:pStyle w:val="Normal"/>
        <w:jc w:val="center"/>
        <w:rPr/>
      </w:pPr>
      <w:r>
        <w:rPr>
          <w:b/>
          <w:bCs/>
          <w:i/>
          <w:iCs/>
        </w:rPr>
        <w:t>COMUNICAZIONE RELATIV</w:t>
      </w:r>
      <w:r>
        <w:rPr>
          <w:b/>
          <w:bCs/>
          <w:i/>
          <w:iCs/>
          <w:shd w:fill="FFFFFF" w:val="clear"/>
        </w:rPr>
        <w:t xml:space="preserve">A ALL’ASSEGNAZIONE ED ALLA LIQUIDAZIONE </w:t>
      </w:r>
      <w:r>
        <w:rPr>
          <w:b/>
          <w:bCs/>
          <w:i/>
          <w:iCs/>
        </w:rPr>
        <w:t>DELLE RISORSE IN FAVORE DEI COMUNI VIRTUOSI IN MATERIA DI ADOZIONE DI FORME DI DEMOCRAZIA PARTECIPATA CON RIGUARDO AI TRASFERIMENTI REGIONALI AI COMUNI PER L’ANNO 2018</w:t>
      </w:r>
    </w:p>
    <w:p>
      <w:pPr>
        <w:pStyle w:val="Normal"/>
        <w:rPr>
          <w:b/>
          <w:b/>
          <w:bCs/>
          <w:i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</w:r>
    </w:p>
    <w:p>
      <w:pPr>
        <w:pStyle w:val="Normal"/>
        <w:spacing w:lineRule="auto" w:line="276"/>
        <w:rPr/>
      </w:pPr>
      <w:r>
        <w:rPr/>
        <w:t xml:space="preserve">Con riguardo al procedimento di assegnazione delle risorse premiali (pari a complessivi </w:t>
      </w:r>
      <w:r>
        <w:rPr>
          <w:rFonts w:cs="serif" w:ascii="serif" w:hAnsi="serif"/>
          <w:shd w:fill="FFFFFF" w:val="clear"/>
        </w:rPr>
        <w:t>€ 395.864,01)</w:t>
      </w:r>
      <w:r>
        <w:rPr/>
        <w:t xml:space="preserve"> spettanti - ai sensi del comma 1</w:t>
      </w:r>
      <w:r>
        <w:rPr>
          <w:i/>
        </w:rPr>
        <w:t xml:space="preserve">quater </w:t>
      </w:r>
      <w:r>
        <w:rPr/>
        <w:t xml:space="preserve">dell’art. 6 della L.r. n. 5/2014 </w:t>
      </w:r>
      <w:r>
        <w:rPr>
          <w:bCs/>
          <w:shd w:fill="FFFFFF" w:val="clear"/>
        </w:rPr>
        <w:t>e ss.mm.ii. - ai comuni che, in relazione ai trasferimenti regionali per l’anno 2018, sono risultati anche parzialmente adempienti alle disposizioni in materia di adozione di forme di democrazia partecipata di cui al comma 1 del medesimo art. 6,</w:t>
      </w:r>
      <w:r>
        <w:rPr/>
        <w:t xml:space="preserve"> si dà notizia che il riparto delle predette risorse -</w:t>
      </w:r>
      <w:r>
        <w:rPr>
          <w:bCs/>
          <w:shd w:fill="FFFFFF" w:val="clear"/>
        </w:rPr>
        <w:t xml:space="preserve"> finalizzato alla formale attribuzione delle somme spettanti a ciascun comune risultato “virtuoso”, a seguito</w:t>
      </w:r>
      <w:r>
        <w:rPr/>
        <w:t xml:space="preserve"> delle attività di interlocuzione con i comuni, avviata con nota prot. n. 6483 del 30 marzo 2022 - sarà effettuato come specificato nella Tabella allegata alla presente comunicazione.</w:t>
      </w:r>
    </w:p>
    <w:p>
      <w:pPr>
        <w:pStyle w:val="Normal"/>
        <w:spacing w:lineRule="auto" w:line="276"/>
        <w:rPr/>
      </w:pPr>
      <w:r>
        <w:rPr/>
        <w:t>Nel merito si precisa che:</w:t>
      </w:r>
    </w:p>
    <w:p>
      <w:pPr>
        <w:pStyle w:val="ListParagraph"/>
        <w:numPr>
          <w:ilvl w:val="0"/>
          <w:numId w:val="1"/>
        </w:numPr>
        <w:spacing w:lineRule="auto" w:line="276" w:before="0" w:after="119"/>
        <w:ind w:left="340" w:hanging="340"/>
        <w:contextualSpacing/>
        <w:rPr/>
      </w:pPr>
      <w:r>
        <w:rPr/>
        <w:t>l’Amministrazione competente per gli adempimenti procedimentali afferenti la procedura su riporta è il Dipartimento regionale delle Autonomie locali - Servizio 4 “Trasferimenti regionali agli Enti locali per il finanziamento delle funzioni”;</w:t>
      </w:r>
    </w:p>
    <w:p>
      <w:pPr>
        <w:pStyle w:val="ListParagraph"/>
        <w:numPr>
          <w:ilvl w:val="0"/>
          <w:numId w:val="1"/>
        </w:numPr>
        <w:spacing w:lineRule="auto" w:line="276" w:before="0" w:after="119"/>
        <w:ind w:left="340" w:hanging="340"/>
        <w:contextualSpacing/>
        <w:rPr/>
      </w:pPr>
      <w:r>
        <w:rPr/>
        <w:t xml:space="preserve">il funzionario responsabile dell’istruttoria propedeutica alla definizione del procedimento è la </w:t>
      </w:r>
      <w:r>
        <w:rPr>
          <w:color w:val="000000"/>
        </w:rPr>
        <w:t xml:space="preserve">funzionaria direttiva Dott.ssa Loriana Muncibì, cui potranno essere rivolte eventuali richieste di </w:t>
      </w:r>
      <w:r>
        <w:rPr/>
        <w:t>chiarimenti ai seguenti recapiti:</w:t>
      </w:r>
      <w:r>
        <w:rPr>
          <w:color w:val="8EAADB"/>
        </w:rPr>
        <w:t xml:space="preserve"> </w:t>
      </w:r>
      <w:r>
        <w:rPr/>
        <w:t xml:space="preserve"> tel. 091-7074411  - </w:t>
      </w:r>
      <w:r>
        <w:rPr>
          <w:i/>
          <w:iCs/>
        </w:rPr>
        <w:t xml:space="preserve"> e-mail</w:t>
      </w:r>
      <w:r>
        <w:rPr/>
        <w:t xml:space="preserve">: </w:t>
      </w:r>
      <w:hyperlink r:id="rId3">
        <w:r>
          <w:rPr>
            <w:rStyle w:val="CollegamentoInternet"/>
          </w:rPr>
          <w:t>loriana.muncibi@regione.sicilia.it</w:t>
        </w:r>
      </w:hyperlink>
      <w:r>
        <w:rPr/>
        <w:t>;</w:t>
      </w:r>
    </w:p>
    <w:p>
      <w:pPr>
        <w:pStyle w:val="ListParagraph"/>
        <w:numPr>
          <w:ilvl w:val="0"/>
          <w:numId w:val="1"/>
        </w:numPr>
        <w:spacing w:lineRule="auto" w:line="276" w:before="0" w:after="119"/>
        <w:ind w:left="340" w:hanging="340"/>
        <w:contextualSpacing/>
        <w:rPr/>
      </w:pPr>
      <w:r>
        <w:rPr/>
        <w:t xml:space="preserve">ai sensi degli artt. 11 e 12 della L.r. 7/2019, i comuni interessati potranno partecipare al procedimento e prendere visione dei relativi atti presso il Dipartimento regionale delle Autonomie locali sito in Via Trinacria 34 - 36 – 90144 Palermo, orari e modalità di accesso sono consultabili all’indirizzo </w:t>
      </w:r>
      <w:hyperlink r:id="rId4">
        <w:r>
          <w:rPr>
            <w:rStyle w:val="CollegamentoInternet"/>
          </w:rPr>
          <w:t>https://www.regione.sicilia.it/istituzioni/regione/strutture-regionali/assessorato-autonomie-locali-funzione-pubblica/dipartimento-autonomie-locali</w:t>
        </w:r>
      </w:hyperlink>
      <w:r>
        <w:rPr>
          <w:rStyle w:val="CollegamentoInternet"/>
          <w:u w:val="none"/>
        </w:rPr>
        <w:t xml:space="preserve"> ;</w:t>
      </w:r>
    </w:p>
    <w:p>
      <w:pPr>
        <w:pStyle w:val="ListParagraph"/>
        <w:numPr>
          <w:ilvl w:val="0"/>
          <w:numId w:val="1"/>
        </w:numPr>
        <w:spacing w:lineRule="auto" w:line="276" w:before="0" w:after="119"/>
        <w:ind w:left="340" w:hanging="340"/>
        <w:contextualSpacing/>
        <w:rPr/>
      </w:pPr>
      <w:r>
        <w:rPr/>
        <w:t xml:space="preserve">ai sensi dell’art. 2 L.r. n. 7/2019 e del D.P.Reg. n. 20/2012, pubblicato in GURS n. 14 del 6 aprile 2012, il temine fissato per la conclusione del procedimento è di </w:t>
      </w:r>
      <w:r>
        <w:rPr>
          <w:shd w:fill="FFFFFF" w:val="clear"/>
        </w:rPr>
        <w:t>30 giorni</w:t>
      </w:r>
      <w:r>
        <w:rPr/>
        <w:t xml:space="preserve"> dalla pubblicazione del presente comunicato;</w:t>
      </w:r>
    </w:p>
    <w:p>
      <w:pPr>
        <w:pStyle w:val="ListParagraph"/>
        <w:numPr>
          <w:ilvl w:val="0"/>
          <w:numId w:val="1"/>
        </w:numPr>
        <w:spacing w:lineRule="auto" w:line="276" w:before="0" w:after="119"/>
        <w:ind w:left="340" w:hanging="340"/>
        <w:contextualSpacing/>
        <w:rPr/>
      </w:pPr>
      <w:r>
        <w:rPr/>
        <w:t>l’ufficio competente all’adozione del provvedimento finale è la Direzione Generale del Dipartimento delle Autonomie Locali;</w:t>
      </w:r>
    </w:p>
    <w:p>
      <w:pPr>
        <w:pStyle w:val="ListParagraph"/>
        <w:numPr>
          <w:ilvl w:val="0"/>
          <w:numId w:val="1"/>
        </w:numPr>
        <w:spacing w:lineRule="auto" w:line="276" w:before="0" w:after="119"/>
        <w:ind w:left="340" w:hanging="340"/>
        <w:contextualSpacing/>
        <w:rPr/>
      </w:pPr>
      <w:r>
        <w:rPr/>
        <w:t>avverso il provvedimento finale o nei casi di mancata adozione del provvedimento, entro i termini di legge, è esperibile ricorso al TAR o ricorso straordinario al Presidente della Regione Siciliana, rispettivamente, entro sessanta giorni o centoventi giorni dalla data di pubblicazione sul sito informatico del Dipartimento regionale delle Autonomie locali.</w:t>
      </w:r>
    </w:p>
    <w:sectPr>
      <w:type w:val="nextPage"/>
      <w:pgSz w:w="12240" w:h="15840"/>
      <w:pgMar w:left="1134" w:right="1134" w:header="0" w:top="759" w:footer="0" w:bottom="793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  <w:font w:name="serif">
    <w:charset w:val="00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rFonts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60"/>
  <w:embedSystemFonts/>
  <w:defaultTabStop w:val="708"/>
  <w:autoHyphenation w:val="false"/>
  <w:compat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semiHidden="0" w:unhideWhenUsed="0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120" w:after="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zh-CN" w:val="it-IT" w:bidi="ar-SA"/>
    </w:rPr>
  </w:style>
  <w:style w:type="character" w:styleId="DefaultParagraphFont" w:customStyle="1">
    <w:name w:val="Default Paragraph Font"/>
    <w:qFormat/>
    <w:rPr/>
  </w:style>
  <w:style w:type="character" w:styleId="SottotitoloCarattere" w:customStyle="1">
    <w:name w:val="Sottotitolo Carattere"/>
    <w:basedOn w:val="DefaultParagraphFont"/>
    <w:qFormat/>
    <w:rPr>
      <w:rFonts w:ascii="Arial" w:hAnsi="Arial" w:eastAsia="Times New Roman" w:cs="Arial"/>
      <w:i/>
      <w:smallCaps/>
      <w:kern w:val="0"/>
      <w:szCs w:val="24"/>
      <w:lang w:eastAsia="zh-CN"/>
    </w:rPr>
  </w:style>
  <w:style w:type="character" w:styleId="CorpodeltestoCarattere" w:customStyle="1">
    <w:name w:val="Corpo del testo Carattere"/>
    <w:basedOn w:val="DefaultParagraphFont"/>
    <w:qFormat/>
    <w:rPr>
      <w:rFonts w:ascii="Times New Roman" w:hAnsi="Times New Roman" w:eastAsia="Times New Roman" w:cs="Times New Roman"/>
      <w:kern w:val="0"/>
      <w:sz w:val="24"/>
      <w:szCs w:val="24"/>
      <w:lang w:eastAsia="zh-CN"/>
    </w:rPr>
  </w:style>
  <w:style w:type="character" w:styleId="CollegamentoInternet">
    <w:name w:val="Collegamento Internet"/>
    <w:rPr>
      <w:color w:val="000080"/>
      <w:u w:val="single"/>
    </w:rPr>
  </w:style>
  <w:style w:type="character" w:styleId="FollowedHyperlink">
    <w:name w:val="FollowedHyperlink"/>
    <w:qFormat/>
    <w:rPr>
      <w:color w:val="800000"/>
      <w:u w:val="single"/>
    </w:rPr>
  </w:style>
  <w:style w:type="character" w:styleId="TestofumettoCarattere" w:customStyle="1">
    <w:name w:val="Testo fumetto Carattere"/>
    <w:basedOn w:val="DefaultParagraphFont"/>
    <w:qFormat/>
    <w:rPr>
      <w:rFonts w:ascii="Tahoma" w:hAnsi="Tahoma" w:eastAsia="Times New Roman" w:cs="Tahoma"/>
      <w:kern w:val="0"/>
      <w:sz w:val="16"/>
      <w:szCs w:val="16"/>
      <w:lang w:eastAsia="zh-CN"/>
    </w:rPr>
  </w:style>
  <w:style w:type="character" w:styleId="ListLabel1" w:customStyle="1">
    <w:name w:val="ListLabel 1"/>
    <w:qFormat/>
    <w:rPr>
      <w:rFonts w:cs="Times New Roman"/>
    </w:rPr>
  </w:style>
  <w:style w:type="character" w:styleId="ListLabel2" w:customStyle="1">
    <w:name w:val="ListLabel 2"/>
    <w:qFormat/>
    <w:rPr>
      <w:rFonts w:cs="Courier New"/>
    </w:rPr>
  </w:style>
  <w:style w:type="character" w:styleId="ListLabel3" w:customStyle="1">
    <w:name w:val="ListLabel 3"/>
    <w:qFormat/>
    <w:rPr>
      <w:rFonts w:cs="Wingdings"/>
    </w:rPr>
  </w:style>
  <w:style w:type="character" w:styleId="ListLabel4" w:customStyle="1">
    <w:name w:val="ListLabel 4"/>
    <w:qFormat/>
    <w:rPr>
      <w:rFonts w:cs="Symbol"/>
    </w:rPr>
  </w:style>
  <w:style w:type="character" w:styleId="ListLabel5" w:customStyle="1">
    <w:name w:val="ListLabel 5"/>
    <w:qFormat/>
    <w:rPr>
      <w:rFonts w:cs="Courier New"/>
    </w:rPr>
  </w:style>
  <w:style w:type="character" w:styleId="ListLabel6" w:customStyle="1">
    <w:name w:val="ListLabel 6"/>
    <w:qFormat/>
    <w:rPr>
      <w:rFonts w:cs="Wingdings"/>
    </w:rPr>
  </w:style>
  <w:style w:type="character" w:styleId="ListLabel7" w:customStyle="1">
    <w:name w:val="ListLabel 7"/>
    <w:qFormat/>
    <w:rPr>
      <w:rFonts w:cs="Symbol"/>
    </w:rPr>
  </w:style>
  <w:style w:type="character" w:styleId="ListLabel8" w:customStyle="1">
    <w:name w:val="ListLabel 8"/>
    <w:qFormat/>
    <w:rPr>
      <w:rFonts w:cs="Courier New"/>
    </w:rPr>
  </w:style>
  <w:style w:type="character" w:styleId="ListLabel9" w:customStyle="1">
    <w:name w:val="ListLabel 9"/>
    <w:qFormat/>
    <w:rPr>
      <w:rFonts w:cs="Wingdings"/>
    </w:rPr>
  </w:style>
  <w:style w:type="character" w:styleId="ListLabel10" w:customStyle="1">
    <w:name w:val="ListLabel 10"/>
    <w:qFormat/>
    <w:rPr/>
  </w:style>
  <w:style w:type="character" w:styleId="ListLabel11" w:customStyle="1">
    <w:name w:val="ListLabel 11"/>
    <w:qFormat/>
    <w:rPr/>
  </w:style>
  <w:style w:type="character" w:styleId="ListLabel12" w:customStyle="1">
    <w:name w:val="ListLabel 12"/>
    <w:qFormat/>
    <w:rPr/>
  </w:style>
  <w:style w:type="character" w:styleId="ListLabel13" w:customStyle="1">
    <w:name w:val="ListLabel 13"/>
    <w:qFormat/>
    <w:rPr/>
  </w:style>
  <w:style w:type="character" w:styleId="ListLabel14" w:customStyle="1">
    <w:name w:val="ListLabel 14"/>
    <w:qFormat/>
    <w:rPr/>
  </w:style>
  <w:style w:type="character" w:styleId="ListLabel15" w:customStyle="1">
    <w:name w:val="ListLabel 15"/>
    <w:qFormat/>
    <w:rPr/>
  </w:style>
  <w:style w:type="character" w:styleId="ListLabel16" w:customStyle="1">
    <w:name w:val="ListLabel 16"/>
    <w:qFormat/>
    <w:rPr/>
  </w:style>
  <w:style w:type="character" w:styleId="ListLabel17" w:customStyle="1">
    <w:name w:val="ListLabel 17"/>
    <w:qFormat/>
    <w:rPr/>
  </w:style>
  <w:style w:type="character" w:styleId="ListLabel18" w:customStyle="1">
    <w:name w:val="ListLabel 18"/>
    <w:qFormat/>
    <w:rPr/>
  </w:style>
  <w:style w:type="character" w:styleId="ListLabel19">
    <w:name w:val="ListLabel 19"/>
    <w:qFormat/>
    <w:rPr>
      <w:rFonts w:cs="Times New Roman"/>
    </w:rPr>
  </w:style>
  <w:style w:type="character" w:styleId="ListLabel20">
    <w:name w:val="ListLabel 20"/>
    <w:qFormat/>
    <w:rPr>
      <w:rFonts w:cs="Courier New"/>
    </w:rPr>
  </w:style>
  <w:style w:type="character" w:styleId="ListLabel21">
    <w:name w:val="ListLabel 21"/>
    <w:qFormat/>
    <w:rPr>
      <w:rFonts w:cs="Wingdings"/>
    </w:rPr>
  </w:style>
  <w:style w:type="character" w:styleId="ListLabel22">
    <w:name w:val="ListLabel 22"/>
    <w:qFormat/>
    <w:rPr>
      <w:rFonts w:cs="Symbol"/>
    </w:rPr>
  </w:style>
  <w:style w:type="character" w:styleId="ListLabel23">
    <w:name w:val="ListLabel 23"/>
    <w:qFormat/>
    <w:rPr>
      <w:rFonts w:cs="Courier New"/>
    </w:rPr>
  </w:style>
  <w:style w:type="character" w:styleId="ListLabel24">
    <w:name w:val="ListLabel 24"/>
    <w:qFormat/>
    <w:rPr>
      <w:rFonts w:cs="Wingdings"/>
    </w:rPr>
  </w:style>
  <w:style w:type="character" w:styleId="ListLabel25">
    <w:name w:val="ListLabel 25"/>
    <w:qFormat/>
    <w:rPr>
      <w:rFonts w:cs="Symbol"/>
    </w:rPr>
  </w:style>
  <w:style w:type="character" w:styleId="ListLabel26">
    <w:name w:val="ListLabel 26"/>
    <w:qFormat/>
    <w:rPr>
      <w:rFonts w:cs="Courier New"/>
    </w:rPr>
  </w:style>
  <w:style w:type="character" w:styleId="ListLabel27">
    <w:name w:val="ListLabel 27"/>
    <w:qFormat/>
    <w:rPr>
      <w:rFonts w:cs="Wingdings"/>
    </w:rPr>
  </w:style>
  <w:style w:type="character" w:styleId="ListLabel28">
    <w:name w:val="ListLabel 28"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Corpodeltesto">
    <w:name w:val="Body Text"/>
    <w:basedOn w:val="Normal"/>
    <w:pPr>
      <w:spacing w:before="120" w:after="12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>
      <w:rFonts w:cs="Lucida Sans"/>
    </w:rPr>
  </w:style>
  <w:style w:type="paragraph" w:styleId="Titolo1" w:customStyle="1">
    <w:name w:val="Titolo1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Titoloprincipale">
    <w:name w:val="Title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Didascalia1" w:customStyle="1">
    <w:name w:val="Didascalia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Sottotitolo">
    <w:name w:val="Subtitle"/>
    <w:basedOn w:val="Normal"/>
    <w:next w:val="Corpodeltesto"/>
    <w:qFormat/>
    <w:pPr>
      <w:jc w:val="center"/>
    </w:pPr>
    <w:rPr>
      <w:rFonts w:ascii="Arial" w:hAnsi="Arial" w:cs="Arial"/>
      <w:i/>
      <w:smallCaps/>
      <w:sz w:val="22"/>
    </w:rPr>
  </w:style>
  <w:style w:type="paragraph" w:styleId="BalloonText" w:customStyle="1">
    <w:name w:val="Balloon Text"/>
    <w:basedOn w:val="Normal"/>
    <w:qFormat/>
    <w:pPr>
      <w:spacing w:before="0" w:after="0"/>
    </w:pPr>
    <w:rPr>
      <w:rFonts w:ascii="Tahoma" w:hAnsi="Tahoma" w:cs="Tahoma"/>
      <w:sz w:val="16"/>
      <w:szCs w:val="16"/>
    </w:rPr>
  </w:style>
  <w:style w:type="paragraph" w:styleId="ListParagraph" w:customStyle="1">
    <w:name w:val="List Paragraph"/>
    <w:basedOn w:val="Normal"/>
    <w:qFormat/>
    <w:pPr>
      <w:spacing w:before="120" w:after="0"/>
      <w:ind w:left="720" w:hanging="0"/>
      <w:contextualSpacing/>
    </w:pPr>
    <w:rPr/>
  </w:style>
  <w:style w:type="paragraph" w:styleId="NormalWeb" w:customStyle="1">
    <w:name w:val="Normal (Web)"/>
    <w:basedOn w:val="Normal"/>
    <w:qFormat/>
    <w:pPr>
      <w:suppressAutoHyphens w:val="false"/>
      <w:spacing w:before="280" w:after="280"/>
      <w:jc w:val="left"/>
    </w:pPr>
    <w:rPr>
      <w:lang w:eastAsia="it-IT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hyperlink" Target="mailto:loriana.muncibi@regione.sicilia.it" TargetMode="External"/><Relationship Id="rId4" Type="http://schemas.openxmlformats.org/officeDocument/2006/relationships/hyperlink" Target="https://www.regione.sicilia.it/istituzioni/regione/strutture-regionali/assessorato-autonomie-locali-funzione-pubblica/dipartimento-autonomie-locali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LibreOffice/6.2.2.2$Windows_X86_64 LibreOffice_project/2b840030fec2aae0fd2658d8d4f9548af4e3518d</Application>
  <Pages>1</Pages>
  <Words>404</Words>
  <Characters>2548</Characters>
  <CharactersWithSpaces>2937</CharactersWithSpaces>
  <Paragraphs>15</Paragraphs>
  <Company>Olidata S.p.A.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2024-07-22T09:24:00Z</dcterms:created>
  <dc:creator>Emanuela Santomauro</dc:creator>
  <dc:description/>
  <dc:language>it-IT</dc:language>
  <cp:lastModifiedBy>loriana.muncibi</cp:lastModifiedBy>
  <cp:lastPrinted>2024-04-10T13:19:00Z</cp:lastPrinted>
  <dcterms:modified xsi:type="dcterms:W3CDTF">2024-07-22T09:24:00Z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Olidata S.p.A.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